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540F" w:rsidRPr="002D357D" w:rsidRDefault="0001540F" w:rsidP="001A1C0D">
      <w:pPr>
        <w:jc w:val="center"/>
        <w:rPr>
          <w:b/>
          <w:color w:val="E36C0A"/>
          <w:lang w:val="ru-RU"/>
        </w:rPr>
      </w:pPr>
      <w:r>
        <w:rPr>
          <w:b/>
          <w:color w:val="E36C0A"/>
          <w:lang w:val="ru-RU"/>
        </w:rPr>
        <w:t>Шкалы кредитных рейтингов</w:t>
      </w:r>
    </w:p>
    <w:p w:rsidR="0001540F" w:rsidRDefault="0001540F" w:rsidP="001A1C0D">
      <w:pPr>
        <w:rPr>
          <w:lang w:val="ru-RU"/>
        </w:rPr>
      </w:pPr>
      <w:r>
        <w:rPr>
          <w:lang w:val="ru-RU"/>
        </w:rPr>
        <w:t xml:space="preserve">Посмотрев, к какой группе относится рейтинг заемщика, </w:t>
      </w:r>
      <w:proofErr w:type="gramStart"/>
      <w:r>
        <w:rPr>
          <w:lang w:val="ru-RU"/>
        </w:rPr>
        <w:t>или</w:t>
      </w:r>
      <w:proofErr w:type="gramEnd"/>
      <w:r>
        <w:rPr>
          <w:lang w:val="ru-RU"/>
        </w:rPr>
        <w:t xml:space="preserve"> прочитав пояснение к рейтингу, можно в некоторой степени оценить его абсолютную кредитоспособность (хорошая, плохая и </w:t>
      </w:r>
      <w:proofErr w:type="spellStart"/>
      <w:r>
        <w:rPr>
          <w:lang w:val="ru-RU"/>
        </w:rPr>
        <w:t>тд</w:t>
      </w:r>
      <w:proofErr w:type="spellEnd"/>
      <w:r>
        <w:rPr>
          <w:lang w:val="ru-RU"/>
        </w:rPr>
        <w:t>). Однако в первую очередь кредитный рейтинг отражает относительную кредитоспособность заемщика, что подчеркивается использованием шкалы кредитных рейтингов. В шкале рейтинги представлены в порядке убывания кредитоспособности заемщика. Иными словами заемщик, имеющий рейтинг «ВВВ» надежнее заемщика с рейтингом «</w:t>
      </w:r>
      <w:r>
        <w:rPr>
          <w:lang w:val="en-US"/>
        </w:rPr>
        <w:t>BB</w:t>
      </w:r>
      <w:r w:rsidRPr="00031E53">
        <w:rPr>
          <w:lang w:val="ru-RU"/>
        </w:rPr>
        <w:t>-</w:t>
      </w:r>
      <w:r>
        <w:rPr>
          <w:lang w:val="ru-RU"/>
        </w:rPr>
        <w:t>»</w:t>
      </w:r>
      <w:r w:rsidRPr="00031E53">
        <w:rPr>
          <w:lang w:val="ru-RU"/>
        </w:rPr>
        <w:t>.</w:t>
      </w:r>
    </w:p>
    <w:p w:rsidR="0001540F" w:rsidRPr="00A868C3" w:rsidRDefault="0001540F" w:rsidP="001A1C0D">
      <w:pPr>
        <w:rPr>
          <w:lang w:val="ru-RU"/>
        </w:rPr>
      </w:pPr>
      <w:r>
        <w:rPr>
          <w:lang w:val="ru-RU"/>
        </w:rPr>
        <w:t xml:space="preserve">Ниже приведены шкалы долгосрочных </w:t>
      </w:r>
      <w:r w:rsidR="00E454A9">
        <w:rPr>
          <w:lang w:val="ru-RU"/>
        </w:rPr>
        <w:t>кредитных рейтингов. Знаки «+» и</w:t>
      </w:r>
      <w:r>
        <w:rPr>
          <w:lang w:val="ru-RU"/>
        </w:rPr>
        <w:t xml:space="preserve"> </w:t>
      </w:r>
      <w:proofErr w:type="gramStart"/>
      <w:r>
        <w:rPr>
          <w:lang w:val="ru-RU"/>
        </w:rPr>
        <w:t>«-</w:t>
      </w:r>
      <w:proofErr w:type="gramEnd"/>
      <w:r>
        <w:rPr>
          <w:lang w:val="ru-RU"/>
        </w:rPr>
        <w:t xml:space="preserve">» в рейтингах </w:t>
      </w:r>
      <w:r>
        <w:rPr>
          <w:lang w:val="en-US"/>
        </w:rPr>
        <w:t>S</w:t>
      </w:r>
      <w:r w:rsidRPr="00A868C3">
        <w:rPr>
          <w:lang w:val="ru-RU"/>
        </w:rPr>
        <w:t>&amp;</w:t>
      </w:r>
      <w:r>
        <w:rPr>
          <w:lang w:val="en-US"/>
        </w:rPr>
        <w:t>P</w:t>
      </w:r>
      <w:r w:rsidRPr="00A868C3">
        <w:rPr>
          <w:lang w:val="ru-RU"/>
        </w:rPr>
        <w:t xml:space="preserve"> </w:t>
      </w:r>
      <w:r>
        <w:rPr>
          <w:lang w:val="ru-RU"/>
        </w:rPr>
        <w:t xml:space="preserve">и </w:t>
      </w:r>
      <w:r>
        <w:rPr>
          <w:lang w:val="en-US"/>
        </w:rPr>
        <w:t>Fitch</w:t>
      </w:r>
      <w:r w:rsidRPr="00A868C3">
        <w:rPr>
          <w:lang w:val="ru-RU"/>
        </w:rPr>
        <w:t xml:space="preserve">, </w:t>
      </w:r>
      <w:r>
        <w:rPr>
          <w:lang w:val="ru-RU"/>
        </w:rPr>
        <w:t xml:space="preserve">а также цифры 1,2,3 в рейтингах </w:t>
      </w:r>
      <w:r>
        <w:rPr>
          <w:lang w:val="en-US"/>
        </w:rPr>
        <w:t>Moody</w:t>
      </w:r>
      <w:r w:rsidRPr="00A868C3">
        <w:rPr>
          <w:lang w:val="ru-RU"/>
        </w:rPr>
        <w:t>’</w:t>
      </w:r>
      <w:r>
        <w:rPr>
          <w:lang w:val="en-US"/>
        </w:rPr>
        <w:t>s</w:t>
      </w:r>
      <w:r w:rsidRPr="00A868C3">
        <w:rPr>
          <w:lang w:val="ru-RU"/>
        </w:rPr>
        <w:t xml:space="preserve"> </w:t>
      </w:r>
      <w:r>
        <w:rPr>
          <w:lang w:val="ru-RU"/>
        </w:rPr>
        <w:t xml:space="preserve">означают относительные различия в кредитоспособности заемщиков в рамках одной рейтинговой группы.   </w:t>
      </w:r>
    </w:p>
    <w:p w:rsidR="0001540F" w:rsidRPr="004345BA" w:rsidRDefault="0001540F" w:rsidP="001A1C0D">
      <w:pPr>
        <w:rPr>
          <w:sz w:val="16"/>
          <w:szCs w:val="16"/>
          <w:lang w:val="ru-RU"/>
        </w:rPr>
      </w:pPr>
    </w:p>
    <w:p w:rsidR="0001540F" w:rsidRPr="007C3506" w:rsidRDefault="0001540F" w:rsidP="001A1C0D">
      <w:pPr>
        <w:rPr>
          <w:b/>
          <w:lang w:val="en-US"/>
        </w:rPr>
      </w:pPr>
      <w:r w:rsidRPr="007C3506">
        <w:rPr>
          <w:b/>
          <w:lang w:val="en-US"/>
        </w:rPr>
        <w:t>Fitch Ratings</w:t>
      </w:r>
    </w:p>
    <w:tbl>
      <w:tblPr>
        <w:tblpPr w:leftFromText="141" w:rightFromText="141" w:vertAnchor="text" w:tblpY="1"/>
        <w:tblOverlap w:val="never"/>
        <w:tblW w:w="0" w:type="auto"/>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6"/>
        <w:gridCol w:w="841"/>
        <w:gridCol w:w="8079"/>
      </w:tblGrid>
      <w:tr w:rsidR="0001540F" w:rsidRPr="00B232CC" w:rsidTr="00A11909">
        <w:trPr>
          <w:trHeight w:val="505"/>
        </w:trPr>
        <w:tc>
          <w:tcPr>
            <w:tcW w:w="736" w:type="dxa"/>
            <w:vMerge w:val="restart"/>
            <w:textDirection w:val="btLr"/>
          </w:tcPr>
          <w:p w:rsidR="0001540F" w:rsidRPr="00A056F5" w:rsidRDefault="0001540F" w:rsidP="008612C3">
            <w:pPr>
              <w:ind w:left="-66" w:right="113"/>
              <w:jc w:val="center"/>
              <w:rPr>
                <w:rFonts w:cs="Arial"/>
                <w:b/>
                <w:color w:val="339933"/>
                <w:lang w:val="ru-RU"/>
              </w:rPr>
            </w:pPr>
            <w:r w:rsidRPr="00A056F5">
              <w:rPr>
                <w:rFonts w:cs="Arial"/>
                <w:b/>
                <w:color w:val="339933"/>
                <w:szCs w:val="22"/>
                <w:lang w:val="ru-RU"/>
              </w:rPr>
              <w:t>Инвестиционные рейтинги</w:t>
            </w:r>
          </w:p>
        </w:tc>
        <w:tc>
          <w:tcPr>
            <w:tcW w:w="841" w:type="dxa"/>
          </w:tcPr>
          <w:p w:rsidR="0001540F" w:rsidRPr="00A056F5" w:rsidRDefault="0001540F" w:rsidP="008612C3">
            <w:pPr>
              <w:ind w:left="-66"/>
              <w:rPr>
                <w:rFonts w:cs="Arial"/>
                <w:b/>
                <w:color w:val="339933"/>
                <w:lang w:val="en-US"/>
              </w:rPr>
            </w:pPr>
            <w:r w:rsidRPr="00A056F5">
              <w:rPr>
                <w:rFonts w:cs="Arial"/>
                <w:b/>
                <w:color w:val="339933"/>
                <w:szCs w:val="22"/>
                <w:lang w:val="en-US"/>
              </w:rPr>
              <w:t xml:space="preserve">AAA </w:t>
            </w:r>
          </w:p>
        </w:tc>
        <w:tc>
          <w:tcPr>
            <w:tcW w:w="8079" w:type="dxa"/>
          </w:tcPr>
          <w:p w:rsidR="0001540F" w:rsidRPr="00A056F5" w:rsidRDefault="0001540F" w:rsidP="008612C3">
            <w:pPr>
              <w:spacing w:before="0" w:after="0"/>
              <w:jc w:val="left"/>
              <w:rPr>
                <w:rFonts w:cs="Arial"/>
                <w:lang w:val="ru-RU"/>
              </w:rPr>
            </w:pPr>
            <w:r w:rsidRPr="00A056F5">
              <w:rPr>
                <w:rFonts w:cs="Arial"/>
                <w:szCs w:val="22"/>
                <w:lang w:val="ru-RU"/>
              </w:rPr>
              <w:t>Наивысший уровень кредитоспособности.</w:t>
            </w:r>
          </w:p>
          <w:p w:rsidR="0001540F" w:rsidRPr="00A056F5" w:rsidRDefault="0001540F" w:rsidP="008612C3">
            <w:pPr>
              <w:rPr>
                <w:rFonts w:cs="Arial"/>
                <w:lang w:val="ru-RU"/>
              </w:rPr>
            </w:pPr>
            <w:r w:rsidRPr="00A056F5">
              <w:rPr>
                <w:rFonts w:cs="Arial"/>
                <w:szCs w:val="22"/>
                <w:lang w:val="ru-RU"/>
              </w:rPr>
              <w:t>Заемщик отличается исключительно высокой способностью своевременно и в полном объеме выполнять финансовые обязательства. Вероятность негативного влияния на эту способность со стороны предсказуемых обстоятельств очень низка</w:t>
            </w:r>
            <w:r>
              <w:rPr>
                <w:rFonts w:cs="Arial"/>
                <w:szCs w:val="22"/>
                <w:lang w:val="ru-RU"/>
              </w:rPr>
              <w:t>я</w:t>
            </w:r>
            <w:r w:rsidRPr="00A056F5">
              <w:rPr>
                <w:rFonts w:cs="Arial"/>
                <w:szCs w:val="22"/>
                <w:lang w:val="ru-RU"/>
              </w:rPr>
              <w:t xml:space="preserve">. </w:t>
            </w:r>
          </w:p>
        </w:tc>
      </w:tr>
      <w:tr w:rsidR="0001540F" w:rsidRPr="00B232CC" w:rsidTr="00A11909">
        <w:trPr>
          <w:trHeight w:val="234"/>
        </w:trPr>
        <w:tc>
          <w:tcPr>
            <w:tcW w:w="736" w:type="dxa"/>
            <w:vMerge/>
          </w:tcPr>
          <w:p w:rsidR="0001540F" w:rsidRPr="00A056F5" w:rsidRDefault="0001540F" w:rsidP="008612C3">
            <w:pPr>
              <w:ind w:left="-66"/>
              <w:rPr>
                <w:rFonts w:cs="Arial"/>
                <w:b/>
                <w:color w:val="339933"/>
                <w:lang w:val="ru-RU"/>
              </w:rPr>
            </w:pPr>
          </w:p>
        </w:tc>
        <w:tc>
          <w:tcPr>
            <w:tcW w:w="841" w:type="dxa"/>
            <w:vAlign w:val="center"/>
          </w:tcPr>
          <w:p w:rsidR="0001540F" w:rsidRDefault="0001540F" w:rsidP="00B16486">
            <w:pPr>
              <w:ind w:left="-66"/>
              <w:jc w:val="left"/>
              <w:rPr>
                <w:rFonts w:cs="Arial"/>
                <w:b/>
                <w:color w:val="339933"/>
                <w:lang w:val="ru-RU"/>
              </w:rPr>
            </w:pPr>
            <w:r w:rsidRPr="00A056F5">
              <w:rPr>
                <w:rFonts w:cs="Arial"/>
                <w:b/>
                <w:color w:val="339933"/>
                <w:szCs w:val="22"/>
                <w:lang w:val="en-US"/>
              </w:rPr>
              <w:t>AA</w:t>
            </w:r>
            <w:r>
              <w:rPr>
                <w:rFonts w:cs="Arial"/>
                <w:b/>
                <w:color w:val="339933"/>
                <w:szCs w:val="22"/>
                <w:lang w:val="ru-RU"/>
              </w:rPr>
              <w:t>+</w:t>
            </w:r>
          </w:p>
          <w:p w:rsidR="0001540F" w:rsidRDefault="0001540F" w:rsidP="00B16486">
            <w:pPr>
              <w:ind w:left="-66"/>
              <w:jc w:val="left"/>
              <w:rPr>
                <w:rFonts w:cs="Arial"/>
                <w:b/>
                <w:color w:val="339933"/>
                <w:lang w:val="en-US"/>
              </w:rPr>
            </w:pPr>
            <w:r>
              <w:rPr>
                <w:rFonts w:cs="Arial"/>
                <w:b/>
                <w:color w:val="339933"/>
                <w:szCs w:val="22"/>
                <w:lang w:val="en-US"/>
              </w:rPr>
              <w:t>AA</w:t>
            </w:r>
          </w:p>
          <w:p w:rsidR="0001540F" w:rsidRPr="00C32587" w:rsidRDefault="0001540F" w:rsidP="00B16486">
            <w:pPr>
              <w:ind w:left="-66"/>
              <w:jc w:val="left"/>
              <w:rPr>
                <w:rFonts w:cs="Arial"/>
                <w:b/>
                <w:color w:val="339933"/>
                <w:lang w:val="en-US"/>
              </w:rPr>
            </w:pPr>
            <w:r>
              <w:rPr>
                <w:rFonts w:cs="Arial"/>
                <w:b/>
                <w:color w:val="339933"/>
                <w:szCs w:val="22"/>
                <w:lang w:val="en-US"/>
              </w:rPr>
              <w:t>AA-</w:t>
            </w:r>
          </w:p>
        </w:tc>
        <w:tc>
          <w:tcPr>
            <w:tcW w:w="8079" w:type="dxa"/>
            <w:vAlign w:val="center"/>
          </w:tcPr>
          <w:p w:rsidR="0001540F" w:rsidRPr="00A056F5" w:rsidRDefault="0001540F" w:rsidP="00B16486">
            <w:pPr>
              <w:rPr>
                <w:rFonts w:cs="Arial"/>
                <w:lang w:val="ru-RU"/>
              </w:rPr>
            </w:pPr>
            <w:r w:rsidRPr="00A056F5">
              <w:rPr>
                <w:rFonts w:cs="Arial"/>
                <w:szCs w:val="22"/>
                <w:lang w:val="ru-RU"/>
              </w:rPr>
              <w:t xml:space="preserve">Очень высокая кредитоспособность </w:t>
            </w:r>
          </w:p>
          <w:p w:rsidR="0001540F" w:rsidRPr="00A056F5" w:rsidRDefault="0001540F" w:rsidP="00B16486">
            <w:pPr>
              <w:rPr>
                <w:rFonts w:cs="Arial"/>
                <w:lang w:val="ru-RU"/>
              </w:rPr>
            </w:pPr>
            <w:r w:rsidRPr="00A056F5">
              <w:rPr>
                <w:rFonts w:cs="Arial"/>
                <w:szCs w:val="22"/>
                <w:lang w:val="ru-RU"/>
              </w:rPr>
              <w:t>Заемщик имеет очень высокую способность погашать финансовые обязательства. Возможные негативные обстоятельства не окажут значительного влияния на эту способность.</w:t>
            </w:r>
          </w:p>
        </w:tc>
      </w:tr>
      <w:tr w:rsidR="0001540F" w:rsidRPr="00B232CC" w:rsidTr="00A11909">
        <w:trPr>
          <w:trHeight w:val="252"/>
        </w:trPr>
        <w:tc>
          <w:tcPr>
            <w:tcW w:w="736" w:type="dxa"/>
            <w:vMerge/>
          </w:tcPr>
          <w:p w:rsidR="0001540F" w:rsidRPr="00A056F5" w:rsidRDefault="0001540F" w:rsidP="008612C3">
            <w:pPr>
              <w:ind w:left="-66"/>
              <w:rPr>
                <w:rFonts w:cs="Arial"/>
                <w:b/>
                <w:color w:val="339933"/>
                <w:lang w:val="ru-RU"/>
              </w:rPr>
            </w:pPr>
          </w:p>
        </w:tc>
        <w:tc>
          <w:tcPr>
            <w:tcW w:w="841" w:type="dxa"/>
            <w:vAlign w:val="center"/>
          </w:tcPr>
          <w:p w:rsidR="0001540F" w:rsidRDefault="0001540F" w:rsidP="00B16486">
            <w:pPr>
              <w:ind w:left="-66"/>
              <w:jc w:val="left"/>
              <w:rPr>
                <w:rFonts w:cs="Arial"/>
                <w:b/>
                <w:color w:val="339933"/>
                <w:lang w:val="en-US"/>
              </w:rPr>
            </w:pPr>
            <w:r w:rsidRPr="00A056F5">
              <w:rPr>
                <w:rFonts w:cs="Arial"/>
                <w:b/>
                <w:color w:val="339933"/>
                <w:szCs w:val="22"/>
                <w:lang w:val="en-US"/>
              </w:rPr>
              <w:t>A</w:t>
            </w:r>
            <w:r>
              <w:rPr>
                <w:rFonts w:cs="Arial"/>
                <w:b/>
                <w:color w:val="339933"/>
                <w:szCs w:val="22"/>
                <w:lang w:val="en-US"/>
              </w:rPr>
              <w:t>+</w:t>
            </w:r>
          </w:p>
          <w:p w:rsidR="0001540F" w:rsidRDefault="0001540F" w:rsidP="00B16486">
            <w:pPr>
              <w:ind w:left="-66"/>
              <w:jc w:val="left"/>
              <w:rPr>
                <w:rFonts w:cs="Arial"/>
                <w:b/>
                <w:color w:val="339933"/>
                <w:lang w:val="en-US"/>
              </w:rPr>
            </w:pPr>
            <w:r>
              <w:rPr>
                <w:rFonts w:cs="Arial"/>
                <w:b/>
                <w:color w:val="339933"/>
                <w:szCs w:val="22"/>
                <w:lang w:val="en-US"/>
              </w:rPr>
              <w:t>A</w:t>
            </w:r>
          </w:p>
          <w:p w:rsidR="0001540F" w:rsidRPr="00A056F5" w:rsidRDefault="0001540F" w:rsidP="00B16486">
            <w:pPr>
              <w:ind w:left="-66"/>
              <w:jc w:val="left"/>
              <w:rPr>
                <w:rFonts w:cs="Arial"/>
                <w:b/>
                <w:lang w:val="en-US"/>
              </w:rPr>
            </w:pPr>
            <w:r>
              <w:rPr>
                <w:rFonts w:cs="Arial"/>
                <w:b/>
                <w:color w:val="339933"/>
                <w:szCs w:val="22"/>
                <w:lang w:val="en-US"/>
              </w:rPr>
              <w:t>A-</w:t>
            </w:r>
          </w:p>
        </w:tc>
        <w:tc>
          <w:tcPr>
            <w:tcW w:w="8079" w:type="dxa"/>
            <w:vAlign w:val="center"/>
          </w:tcPr>
          <w:p w:rsidR="0001540F" w:rsidRPr="00A056F5" w:rsidRDefault="0001540F" w:rsidP="00B16486">
            <w:pPr>
              <w:jc w:val="left"/>
              <w:rPr>
                <w:rFonts w:cs="Arial"/>
                <w:lang w:val="ru-RU"/>
              </w:rPr>
            </w:pPr>
            <w:r w:rsidRPr="00A056F5">
              <w:rPr>
                <w:rFonts w:cs="Arial"/>
                <w:szCs w:val="22"/>
                <w:lang w:val="ru-RU"/>
              </w:rPr>
              <w:t>Высокая кредитоспособность</w:t>
            </w:r>
          </w:p>
          <w:p w:rsidR="0001540F" w:rsidRPr="00A056F5" w:rsidRDefault="0001540F" w:rsidP="00B16486">
            <w:pPr>
              <w:rPr>
                <w:rFonts w:cs="Arial"/>
                <w:lang w:val="ru-RU"/>
              </w:rPr>
            </w:pPr>
            <w:r w:rsidRPr="00A056F5">
              <w:rPr>
                <w:rFonts w:cs="Arial"/>
                <w:szCs w:val="22"/>
                <w:lang w:val="ru-RU"/>
              </w:rPr>
              <w:t>Способность заемщика погашать финансовые обязательства оценивается как высокая. Тем не менее, данная способность может быть в большей степени подвержена влиянию негативных экономических условий, чем в случае заемщиков с более высокими рейтингами.</w:t>
            </w:r>
          </w:p>
        </w:tc>
      </w:tr>
      <w:tr w:rsidR="0001540F" w:rsidRPr="00B232CC" w:rsidTr="00A11909">
        <w:trPr>
          <w:trHeight w:val="374"/>
        </w:trPr>
        <w:tc>
          <w:tcPr>
            <w:tcW w:w="736" w:type="dxa"/>
            <w:vMerge/>
            <w:tcBorders>
              <w:bottom w:val="single" w:sz="4" w:space="0" w:color="auto"/>
            </w:tcBorders>
          </w:tcPr>
          <w:p w:rsidR="0001540F" w:rsidRPr="00A056F5" w:rsidRDefault="0001540F" w:rsidP="008612C3">
            <w:pPr>
              <w:ind w:left="-66"/>
              <w:rPr>
                <w:rFonts w:cs="Arial"/>
                <w:b/>
                <w:color w:val="339933"/>
                <w:lang w:val="ru-RU"/>
              </w:rPr>
            </w:pPr>
          </w:p>
        </w:tc>
        <w:tc>
          <w:tcPr>
            <w:tcW w:w="841" w:type="dxa"/>
            <w:vAlign w:val="center"/>
          </w:tcPr>
          <w:p w:rsidR="0001540F" w:rsidRDefault="0001540F" w:rsidP="00B16486">
            <w:pPr>
              <w:ind w:left="-66"/>
              <w:jc w:val="left"/>
              <w:rPr>
                <w:rFonts w:cs="Arial"/>
                <w:b/>
                <w:color w:val="339933"/>
                <w:lang w:val="en-US"/>
              </w:rPr>
            </w:pPr>
            <w:r w:rsidRPr="00A056F5">
              <w:rPr>
                <w:rFonts w:cs="Arial"/>
                <w:b/>
                <w:color w:val="339933"/>
                <w:szCs w:val="22"/>
                <w:lang w:val="en-US"/>
              </w:rPr>
              <w:t>BBB</w:t>
            </w:r>
            <w:r>
              <w:rPr>
                <w:rFonts w:cs="Arial"/>
                <w:b/>
                <w:color w:val="339933"/>
                <w:szCs w:val="22"/>
                <w:lang w:val="en-US"/>
              </w:rPr>
              <w:t>+</w:t>
            </w:r>
          </w:p>
          <w:p w:rsidR="0001540F" w:rsidRDefault="0001540F" w:rsidP="00B16486">
            <w:pPr>
              <w:ind w:left="-66"/>
              <w:jc w:val="left"/>
              <w:rPr>
                <w:rFonts w:cs="Arial"/>
                <w:b/>
                <w:color w:val="339933"/>
                <w:lang w:val="en-US"/>
              </w:rPr>
            </w:pPr>
            <w:r>
              <w:rPr>
                <w:rFonts w:cs="Arial"/>
                <w:b/>
                <w:color w:val="339933"/>
                <w:szCs w:val="22"/>
                <w:lang w:val="en-US"/>
              </w:rPr>
              <w:t>BBB</w:t>
            </w:r>
          </w:p>
          <w:p w:rsidR="0001540F" w:rsidRPr="00A056F5" w:rsidRDefault="0001540F" w:rsidP="00B16486">
            <w:pPr>
              <w:ind w:left="-66"/>
              <w:jc w:val="left"/>
              <w:rPr>
                <w:rFonts w:cs="Arial"/>
                <w:b/>
                <w:lang w:val="en-US"/>
              </w:rPr>
            </w:pPr>
            <w:r>
              <w:rPr>
                <w:rFonts w:cs="Arial"/>
                <w:b/>
                <w:color w:val="339933"/>
                <w:szCs w:val="22"/>
                <w:lang w:val="en-US"/>
              </w:rPr>
              <w:t>BBB-</w:t>
            </w:r>
          </w:p>
        </w:tc>
        <w:tc>
          <w:tcPr>
            <w:tcW w:w="8079" w:type="dxa"/>
          </w:tcPr>
          <w:p w:rsidR="0001540F" w:rsidRPr="00A056F5" w:rsidRDefault="0001540F" w:rsidP="008612C3">
            <w:pPr>
              <w:rPr>
                <w:rFonts w:cs="Arial"/>
                <w:lang w:val="ru-RU"/>
              </w:rPr>
            </w:pPr>
            <w:r w:rsidRPr="00A056F5">
              <w:rPr>
                <w:rFonts w:cs="Arial"/>
                <w:szCs w:val="22"/>
                <w:lang w:val="ru-RU"/>
              </w:rPr>
              <w:t>Хорошая кредитоспособность</w:t>
            </w:r>
          </w:p>
          <w:p w:rsidR="0001540F" w:rsidRPr="00A056F5" w:rsidRDefault="0001540F" w:rsidP="008612C3">
            <w:pPr>
              <w:rPr>
                <w:rFonts w:cs="Arial"/>
                <w:lang w:val="ru-RU"/>
              </w:rPr>
            </w:pPr>
            <w:proofErr w:type="gramStart"/>
            <w:r w:rsidRPr="00A056F5">
              <w:rPr>
                <w:rFonts w:cs="Arial"/>
                <w:szCs w:val="22"/>
                <w:lang w:val="ru-RU"/>
              </w:rPr>
              <w:t>Способность</w:t>
            </w:r>
            <w:r>
              <w:rPr>
                <w:rFonts w:cs="Arial"/>
                <w:szCs w:val="22"/>
                <w:lang w:val="ru-RU"/>
              </w:rPr>
              <w:t xml:space="preserve"> заемщика</w:t>
            </w:r>
            <w:r w:rsidRPr="00A056F5">
              <w:rPr>
                <w:rFonts w:cs="Arial"/>
                <w:szCs w:val="22"/>
                <w:lang w:val="ru-RU"/>
              </w:rPr>
              <w:t xml:space="preserve"> погашать финансовые обязательства оценивается как адекватная, однако влияние негативной бизнес-среды или негативных экономических условий с большей вероятностью может уменьшить данную способность</w:t>
            </w:r>
            <w:r>
              <w:rPr>
                <w:rFonts w:cs="Arial"/>
                <w:szCs w:val="22"/>
                <w:lang w:val="ru-RU"/>
              </w:rPr>
              <w:t>.</w:t>
            </w:r>
            <w:proofErr w:type="gramEnd"/>
          </w:p>
        </w:tc>
      </w:tr>
      <w:tr w:rsidR="0001540F" w:rsidRPr="00B232CC" w:rsidTr="00A11909">
        <w:trPr>
          <w:trHeight w:val="365"/>
        </w:trPr>
        <w:tc>
          <w:tcPr>
            <w:tcW w:w="736" w:type="dxa"/>
            <w:vMerge w:val="restart"/>
            <w:tcBorders>
              <w:bottom w:val="nil"/>
            </w:tcBorders>
            <w:textDirection w:val="btLr"/>
          </w:tcPr>
          <w:p w:rsidR="0001540F" w:rsidRPr="00A056F5" w:rsidRDefault="0001540F" w:rsidP="008612C3">
            <w:pPr>
              <w:ind w:left="-66" w:right="113"/>
              <w:jc w:val="center"/>
              <w:rPr>
                <w:rFonts w:cs="Arial"/>
                <w:b/>
                <w:color w:val="E36C0A"/>
                <w:lang w:val="ru-RU"/>
              </w:rPr>
            </w:pPr>
            <w:r w:rsidRPr="00A056F5">
              <w:rPr>
                <w:rFonts w:cs="Arial"/>
                <w:b/>
                <w:color w:val="E36C0A"/>
                <w:szCs w:val="22"/>
                <w:lang w:val="ru-RU"/>
              </w:rPr>
              <w:t>Спекулятивные рейтинги</w:t>
            </w:r>
          </w:p>
        </w:tc>
        <w:tc>
          <w:tcPr>
            <w:tcW w:w="841" w:type="dxa"/>
            <w:vAlign w:val="center"/>
          </w:tcPr>
          <w:p w:rsidR="0001540F" w:rsidRDefault="0001540F" w:rsidP="00B16486">
            <w:pPr>
              <w:ind w:left="-66"/>
              <w:jc w:val="left"/>
              <w:rPr>
                <w:rFonts w:cs="Arial"/>
                <w:b/>
                <w:color w:val="E36C0A"/>
                <w:lang w:val="en-US"/>
              </w:rPr>
            </w:pPr>
            <w:r w:rsidRPr="00A056F5">
              <w:rPr>
                <w:rFonts w:cs="Arial"/>
                <w:b/>
                <w:color w:val="E36C0A"/>
                <w:szCs w:val="22"/>
                <w:lang w:val="en-US"/>
              </w:rPr>
              <w:t>BB</w:t>
            </w:r>
            <w:r>
              <w:rPr>
                <w:rFonts w:cs="Arial"/>
                <w:b/>
                <w:color w:val="E36C0A"/>
                <w:szCs w:val="22"/>
                <w:lang w:val="en-US"/>
              </w:rPr>
              <w:t>+</w:t>
            </w:r>
          </w:p>
          <w:p w:rsidR="0001540F" w:rsidRDefault="0001540F" w:rsidP="00B16486">
            <w:pPr>
              <w:ind w:left="-66"/>
              <w:jc w:val="left"/>
              <w:rPr>
                <w:rFonts w:cs="Arial"/>
                <w:b/>
                <w:color w:val="E36C0A"/>
                <w:lang w:val="en-US"/>
              </w:rPr>
            </w:pPr>
            <w:r>
              <w:rPr>
                <w:rFonts w:cs="Arial"/>
                <w:b/>
                <w:color w:val="E36C0A"/>
                <w:szCs w:val="22"/>
                <w:lang w:val="en-US"/>
              </w:rPr>
              <w:t>BB</w:t>
            </w:r>
          </w:p>
          <w:p w:rsidR="0001540F" w:rsidRPr="00A056F5" w:rsidRDefault="0001540F" w:rsidP="00B16486">
            <w:pPr>
              <w:ind w:left="-66"/>
              <w:jc w:val="left"/>
              <w:rPr>
                <w:rFonts w:cs="Arial"/>
                <w:b/>
                <w:color w:val="EEB500"/>
                <w:lang w:val="en-US"/>
              </w:rPr>
            </w:pPr>
            <w:r>
              <w:rPr>
                <w:rFonts w:cs="Arial"/>
                <w:b/>
                <w:color w:val="E36C0A"/>
                <w:szCs w:val="22"/>
                <w:lang w:val="en-US"/>
              </w:rPr>
              <w:t>BB-</w:t>
            </w:r>
          </w:p>
        </w:tc>
        <w:tc>
          <w:tcPr>
            <w:tcW w:w="8079" w:type="dxa"/>
          </w:tcPr>
          <w:p w:rsidR="0001540F" w:rsidRPr="00A056F5" w:rsidRDefault="0001540F" w:rsidP="008612C3">
            <w:pPr>
              <w:rPr>
                <w:rFonts w:cs="Arial"/>
                <w:lang w:val="ru-RU"/>
              </w:rPr>
            </w:pPr>
            <w:r w:rsidRPr="00A056F5">
              <w:rPr>
                <w:rFonts w:cs="Arial"/>
                <w:szCs w:val="22"/>
                <w:lang w:val="ru-RU"/>
              </w:rPr>
              <w:t>Спекулятивный рейтинг</w:t>
            </w:r>
          </w:p>
          <w:p w:rsidR="0001540F" w:rsidRPr="00A056F5" w:rsidRDefault="0001540F" w:rsidP="008612C3">
            <w:pPr>
              <w:rPr>
                <w:rFonts w:cs="Arial"/>
                <w:lang w:val="ru-RU"/>
              </w:rPr>
            </w:pPr>
            <w:r>
              <w:rPr>
                <w:rFonts w:cs="Arial"/>
                <w:szCs w:val="22"/>
                <w:lang w:val="ru-RU"/>
              </w:rPr>
              <w:t>Заемщик подвержен повышенной уязвимости</w:t>
            </w:r>
            <w:r w:rsidRPr="00A056F5">
              <w:rPr>
                <w:rFonts w:cs="Arial"/>
                <w:szCs w:val="22"/>
                <w:lang w:val="ru-RU"/>
              </w:rPr>
              <w:t xml:space="preserve"> к риску дефолта</w:t>
            </w:r>
            <w:r>
              <w:rPr>
                <w:rFonts w:cs="Arial"/>
                <w:szCs w:val="22"/>
                <w:lang w:val="ru-RU"/>
              </w:rPr>
              <w:t xml:space="preserve"> в среднесрочном периоде</w:t>
            </w:r>
            <w:r w:rsidRPr="00A056F5">
              <w:rPr>
                <w:rFonts w:cs="Arial"/>
                <w:szCs w:val="22"/>
                <w:lang w:val="ru-RU"/>
              </w:rPr>
              <w:t xml:space="preserve">, особенно в случае негативных изменений </w:t>
            </w:r>
            <w:proofErr w:type="gramStart"/>
            <w:r w:rsidRPr="00A056F5">
              <w:rPr>
                <w:rFonts w:cs="Arial"/>
                <w:szCs w:val="22"/>
                <w:lang w:val="ru-RU"/>
              </w:rPr>
              <w:t>бизнес-среды</w:t>
            </w:r>
            <w:proofErr w:type="gramEnd"/>
            <w:r w:rsidRPr="00A056F5">
              <w:rPr>
                <w:rFonts w:cs="Arial"/>
                <w:szCs w:val="22"/>
                <w:lang w:val="ru-RU"/>
              </w:rPr>
              <w:t xml:space="preserve"> или экономич</w:t>
            </w:r>
            <w:r>
              <w:rPr>
                <w:rFonts w:cs="Arial"/>
                <w:szCs w:val="22"/>
                <w:lang w:val="ru-RU"/>
              </w:rPr>
              <w:t>еских условий</w:t>
            </w:r>
            <w:r w:rsidRPr="00A056F5">
              <w:rPr>
                <w:rFonts w:cs="Arial"/>
                <w:szCs w:val="22"/>
                <w:lang w:val="ru-RU"/>
              </w:rPr>
              <w:t>. Однако</w:t>
            </w:r>
            <w:r>
              <w:rPr>
                <w:rFonts w:cs="Arial"/>
                <w:szCs w:val="22"/>
                <w:lang w:val="ru-RU"/>
              </w:rPr>
              <w:t xml:space="preserve"> в краткосрочном периоде</w:t>
            </w:r>
            <w:r w:rsidRPr="00A056F5">
              <w:rPr>
                <w:rFonts w:cs="Arial"/>
                <w:szCs w:val="22"/>
                <w:lang w:val="ru-RU"/>
              </w:rPr>
              <w:t xml:space="preserve"> гибкость бизнеса или финансовая гибкость поддерживает возможность обслуживать финансовые обязательства</w:t>
            </w:r>
            <w:r>
              <w:rPr>
                <w:rFonts w:cs="Arial"/>
                <w:szCs w:val="22"/>
                <w:lang w:val="ru-RU"/>
              </w:rPr>
              <w:t>.</w:t>
            </w:r>
          </w:p>
        </w:tc>
      </w:tr>
      <w:tr w:rsidR="0001540F" w:rsidRPr="00B232CC" w:rsidTr="00A11909">
        <w:trPr>
          <w:trHeight w:val="307"/>
        </w:trPr>
        <w:tc>
          <w:tcPr>
            <w:tcW w:w="736" w:type="dxa"/>
            <w:vMerge/>
            <w:tcBorders>
              <w:bottom w:val="nil"/>
            </w:tcBorders>
          </w:tcPr>
          <w:p w:rsidR="0001540F" w:rsidRPr="00A056F5" w:rsidRDefault="0001540F" w:rsidP="008612C3">
            <w:pPr>
              <w:ind w:left="-66"/>
              <w:rPr>
                <w:rFonts w:cs="Arial"/>
                <w:b/>
                <w:color w:val="E36C0A"/>
                <w:lang w:val="ru-RU"/>
              </w:rPr>
            </w:pPr>
          </w:p>
        </w:tc>
        <w:tc>
          <w:tcPr>
            <w:tcW w:w="841" w:type="dxa"/>
            <w:vAlign w:val="center"/>
          </w:tcPr>
          <w:p w:rsidR="0001540F" w:rsidRDefault="0001540F" w:rsidP="00B16486">
            <w:pPr>
              <w:ind w:left="-66"/>
              <w:jc w:val="left"/>
              <w:rPr>
                <w:rFonts w:cs="Arial"/>
                <w:b/>
                <w:color w:val="E36C0A"/>
                <w:lang w:val="en-US"/>
              </w:rPr>
            </w:pPr>
            <w:r w:rsidRPr="00A056F5">
              <w:rPr>
                <w:rFonts w:cs="Arial"/>
                <w:b/>
                <w:color w:val="E36C0A"/>
                <w:szCs w:val="22"/>
                <w:lang w:val="en-US"/>
              </w:rPr>
              <w:t>B</w:t>
            </w:r>
            <w:r>
              <w:rPr>
                <w:rFonts w:cs="Arial"/>
                <w:b/>
                <w:color w:val="E36C0A"/>
                <w:szCs w:val="22"/>
                <w:lang w:val="en-US"/>
              </w:rPr>
              <w:t>+</w:t>
            </w:r>
          </w:p>
          <w:p w:rsidR="0001540F" w:rsidRDefault="0001540F" w:rsidP="00B16486">
            <w:pPr>
              <w:ind w:left="-66"/>
              <w:jc w:val="left"/>
              <w:rPr>
                <w:rFonts w:cs="Arial"/>
                <w:b/>
                <w:color w:val="E36C0A"/>
                <w:lang w:val="en-US"/>
              </w:rPr>
            </w:pPr>
            <w:r>
              <w:rPr>
                <w:rFonts w:cs="Arial"/>
                <w:b/>
                <w:color w:val="E36C0A"/>
                <w:szCs w:val="22"/>
                <w:lang w:val="en-US"/>
              </w:rPr>
              <w:t>B</w:t>
            </w:r>
          </w:p>
          <w:p w:rsidR="0001540F" w:rsidRPr="00A056F5" w:rsidRDefault="0001540F" w:rsidP="00B16486">
            <w:pPr>
              <w:ind w:left="-66"/>
              <w:jc w:val="left"/>
              <w:rPr>
                <w:rFonts w:cs="Arial"/>
                <w:b/>
                <w:lang w:val="en-US"/>
              </w:rPr>
            </w:pPr>
            <w:r>
              <w:rPr>
                <w:rFonts w:cs="Arial"/>
                <w:b/>
                <w:color w:val="E36C0A"/>
                <w:szCs w:val="22"/>
                <w:lang w:val="en-US"/>
              </w:rPr>
              <w:t>B-</w:t>
            </w:r>
          </w:p>
        </w:tc>
        <w:tc>
          <w:tcPr>
            <w:tcW w:w="8079" w:type="dxa"/>
          </w:tcPr>
          <w:p w:rsidR="0001540F" w:rsidRPr="00A056F5" w:rsidRDefault="0001540F" w:rsidP="008612C3">
            <w:pPr>
              <w:rPr>
                <w:rFonts w:cs="Arial"/>
                <w:lang w:val="ru-RU"/>
              </w:rPr>
            </w:pPr>
            <w:r w:rsidRPr="00A056F5">
              <w:rPr>
                <w:rFonts w:cs="Arial"/>
                <w:szCs w:val="22"/>
                <w:lang w:val="ru-RU"/>
              </w:rPr>
              <w:t>В высокой степени спекулятивный рейтинг</w:t>
            </w:r>
          </w:p>
          <w:p w:rsidR="0001540F" w:rsidRPr="00A056F5" w:rsidRDefault="0001540F" w:rsidP="008612C3">
            <w:pPr>
              <w:rPr>
                <w:rFonts w:cs="Arial"/>
                <w:lang w:val="ru-RU"/>
              </w:rPr>
            </w:pPr>
            <w:r>
              <w:rPr>
                <w:rFonts w:cs="Arial"/>
                <w:szCs w:val="22"/>
                <w:lang w:val="ru-RU"/>
              </w:rPr>
              <w:t>Заемщик подвержен значительному риску</w:t>
            </w:r>
            <w:r w:rsidR="004345BA">
              <w:rPr>
                <w:rFonts w:cs="Arial"/>
                <w:szCs w:val="22"/>
                <w:lang w:val="ru-RU"/>
              </w:rPr>
              <w:t xml:space="preserve"> дефолта, но</w:t>
            </w:r>
            <w:r w:rsidRPr="00A056F5">
              <w:rPr>
                <w:rFonts w:cs="Arial"/>
                <w:szCs w:val="22"/>
                <w:lang w:val="ru-RU"/>
              </w:rPr>
              <w:t xml:space="preserve"> при этом остается ограниченный запас прочности. На данный момент финансовые обязательства выполняются, однако способность продолжать платежи является</w:t>
            </w:r>
            <w:r>
              <w:rPr>
                <w:rFonts w:cs="Arial"/>
                <w:szCs w:val="22"/>
                <w:lang w:val="ru-RU"/>
              </w:rPr>
              <w:t xml:space="preserve"> весьма</w:t>
            </w:r>
            <w:r w:rsidRPr="00A056F5">
              <w:rPr>
                <w:rFonts w:cs="Arial"/>
                <w:szCs w:val="22"/>
                <w:lang w:val="ru-RU"/>
              </w:rPr>
              <w:t xml:space="preserve"> уязвимой в случае ухудшения </w:t>
            </w:r>
            <w:proofErr w:type="gramStart"/>
            <w:r w:rsidRPr="00A056F5">
              <w:rPr>
                <w:rFonts w:cs="Arial"/>
                <w:szCs w:val="22"/>
                <w:lang w:val="ru-RU"/>
              </w:rPr>
              <w:t>бизнес-среды</w:t>
            </w:r>
            <w:proofErr w:type="gramEnd"/>
            <w:r w:rsidRPr="00A056F5">
              <w:rPr>
                <w:rFonts w:cs="Arial"/>
                <w:szCs w:val="22"/>
                <w:lang w:val="ru-RU"/>
              </w:rPr>
              <w:t xml:space="preserve"> или экономических условий.</w:t>
            </w:r>
          </w:p>
        </w:tc>
      </w:tr>
      <w:tr w:rsidR="0001540F" w:rsidRPr="00B232CC" w:rsidTr="00A11909">
        <w:trPr>
          <w:trHeight w:val="430"/>
        </w:trPr>
        <w:tc>
          <w:tcPr>
            <w:tcW w:w="736" w:type="dxa"/>
            <w:vMerge/>
            <w:tcBorders>
              <w:bottom w:val="nil"/>
            </w:tcBorders>
          </w:tcPr>
          <w:p w:rsidR="0001540F" w:rsidRPr="00A056F5" w:rsidRDefault="0001540F" w:rsidP="008612C3">
            <w:pPr>
              <w:ind w:left="-66"/>
              <w:rPr>
                <w:rFonts w:cs="Arial"/>
                <w:b/>
                <w:color w:val="FF0000"/>
                <w:lang w:val="ru-RU"/>
              </w:rPr>
            </w:pPr>
          </w:p>
        </w:tc>
        <w:tc>
          <w:tcPr>
            <w:tcW w:w="841" w:type="dxa"/>
          </w:tcPr>
          <w:p w:rsidR="0001540F" w:rsidRPr="00A056F5" w:rsidRDefault="0001540F" w:rsidP="008612C3">
            <w:pPr>
              <w:ind w:left="-66"/>
              <w:rPr>
                <w:rFonts w:cs="Arial"/>
                <w:b/>
                <w:lang w:val="en-US"/>
              </w:rPr>
            </w:pPr>
            <w:r w:rsidRPr="00A056F5">
              <w:rPr>
                <w:rFonts w:cs="Arial"/>
                <w:b/>
                <w:color w:val="FF0000"/>
                <w:szCs w:val="22"/>
                <w:lang w:val="en-US"/>
              </w:rPr>
              <w:t>CCC</w:t>
            </w:r>
          </w:p>
        </w:tc>
        <w:tc>
          <w:tcPr>
            <w:tcW w:w="8079" w:type="dxa"/>
          </w:tcPr>
          <w:p w:rsidR="0001540F" w:rsidRPr="00A056F5" w:rsidRDefault="0001540F" w:rsidP="008612C3">
            <w:pPr>
              <w:rPr>
                <w:rFonts w:cs="Arial"/>
                <w:lang w:val="ru-RU"/>
              </w:rPr>
            </w:pPr>
            <w:r w:rsidRPr="00A056F5">
              <w:rPr>
                <w:rFonts w:cs="Arial"/>
                <w:szCs w:val="22"/>
                <w:lang w:val="ru-RU"/>
              </w:rPr>
              <w:t>Существенный кредитный риск</w:t>
            </w:r>
          </w:p>
          <w:p w:rsidR="0001540F" w:rsidRPr="00A056F5" w:rsidRDefault="0001540F" w:rsidP="008612C3">
            <w:pPr>
              <w:rPr>
                <w:rFonts w:cs="Arial"/>
                <w:lang w:val="ru-RU"/>
              </w:rPr>
            </w:pPr>
            <w:r w:rsidRPr="00A056F5">
              <w:rPr>
                <w:rFonts w:cs="Arial"/>
                <w:szCs w:val="22"/>
                <w:lang w:val="ru-RU"/>
              </w:rPr>
              <w:t>Дефолт представляется реальной возможностью.</w:t>
            </w:r>
          </w:p>
        </w:tc>
      </w:tr>
      <w:tr w:rsidR="0001540F" w:rsidRPr="00B232CC" w:rsidTr="00A11909">
        <w:trPr>
          <w:trHeight w:val="402"/>
        </w:trPr>
        <w:tc>
          <w:tcPr>
            <w:tcW w:w="736" w:type="dxa"/>
            <w:vMerge w:val="restart"/>
            <w:tcBorders>
              <w:top w:val="nil"/>
              <w:bottom w:val="single" w:sz="4" w:space="0" w:color="auto"/>
            </w:tcBorders>
          </w:tcPr>
          <w:p w:rsidR="0001540F" w:rsidRPr="00A056F5" w:rsidRDefault="0001540F" w:rsidP="008612C3">
            <w:pPr>
              <w:ind w:left="-66"/>
              <w:rPr>
                <w:rFonts w:cs="Arial"/>
                <w:b/>
                <w:color w:val="FF0000"/>
                <w:lang w:val="ru-RU"/>
              </w:rPr>
            </w:pPr>
          </w:p>
        </w:tc>
        <w:tc>
          <w:tcPr>
            <w:tcW w:w="841" w:type="dxa"/>
          </w:tcPr>
          <w:p w:rsidR="0001540F" w:rsidRPr="00A056F5" w:rsidRDefault="0001540F" w:rsidP="008612C3">
            <w:pPr>
              <w:ind w:left="-66"/>
              <w:rPr>
                <w:rFonts w:cs="Arial"/>
                <w:b/>
                <w:lang w:val="en-US"/>
              </w:rPr>
            </w:pPr>
            <w:r w:rsidRPr="00A056F5">
              <w:rPr>
                <w:rFonts w:cs="Arial"/>
                <w:b/>
                <w:color w:val="FF0000"/>
                <w:szCs w:val="22"/>
                <w:lang w:val="en-US"/>
              </w:rPr>
              <w:t>CC</w:t>
            </w:r>
          </w:p>
        </w:tc>
        <w:tc>
          <w:tcPr>
            <w:tcW w:w="8079" w:type="dxa"/>
          </w:tcPr>
          <w:p w:rsidR="0001540F" w:rsidRPr="00A056F5" w:rsidRDefault="0001540F" w:rsidP="008612C3">
            <w:pPr>
              <w:rPr>
                <w:rFonts w:cs="Arial"/>
                <w:lang w:val="ru-RU"/>
              </w:rPr>
            </w:pPr>
            <w:r w:rsidRPr="00A056F5">
              <w:rPr>
                <w:rFonts w:cs="Arial"/>
                <w:szCs w:val="22"/>
                <w:lang w:val="ru-RU"/>
              </w:rPr>
              <w:t>Очень высокие уровни кредитного риска.</w:t>
            </w:r>
          </w:p>
          <w:p w:rsidR="0001540F" w:rsidRPr="00A056F5" w:rsidRDefault="0001540F" w:rsidP="008612C3">
            <w:pPr>
              <w:rPr>
                <w:rFonts w:cs="Arial"/>
                <w:lang w:val="ru-RU"/>
              </w:rPr>
            </w:pPr>
            <w:r w:rsidRPr="00A056F5">
              <w:rPr>
                <w:rFonts w:cs="Arial"/>
                <w:szCs w:val="22"/>
                <w:lang w:val="ru-RU"/>
              </w:rPr>
              <w:t>Дефолт в той или иной форме представляется вероятным.</w:t>
            </w:r>
          </w:p>
        </w:tc>
      </w:tr>
      <w:tr w:rsidR="0001540F" w:rsidRPr="00B232CC" w:rsidTr="00A11909">
        <w:trPr>
          <w:trHeight w:val="458"/>
        </w:trPr>
        <w:tc>
          <w:tcPr>
            <w:tcW w:w="736" w:type="dxa"/>
            <w:vMerge/>
            <w:tcBorders>
              <w:bottom w:val="single" w:sz="4" w:space="0" w:color="auto"/>
            </w:tcBorders>
          </w:tcPr>
          <w:p w:rsidR="0001540F" w:rsidRPr="00A056F5" w:rsidRDefault="0001540F" w:rsidP="008612C3">
            <w:pPr>
              <w:ind w:left="-66"/>
              <w:rPr>
                <w:rFonts w:cs="Arial"/>
                <w:b/>
                <w:color w:val="FF0000"/>
                <w:lang w:val="ru-RU"/>
              </w:rPr>
            </w:pPr>
          </w:p>
        </w:tc>
        <w:tc>
          <w:tcPr>
            <w:tcW w:w="841" w:type="dxa"/>
          </w:tcPr>
          <w:p w:rsidR="0001540F" w:rsidRPr="00A056F5" w:rsidRDefault="0001540F" w:rsidP="008612C3">
            <w:pPr>
              <w:ind w:left="-66"/>
              <w:rPr>
                <w:rFonts w:cs="Arial"/>
                <w:b/>
                <w:lang w:val="en-US"/>
              </w:rPr>
            </w:pPr>
            <w:r w:rsidRPr="00A056F5">
              <w:rPr>
                <w:rFonts w:cs="Arial"/>
                <w:b/>
                <w:color w:val="FF0000"/>
                <w:szCs w:val="22"/>
                <w:lang w:val="en-US"/>
              </w:rPr>
              <w:t>C</w:t>
            </w:r>
          </w:p>
        </w:tc>
        <w:tc>
          <w:tcPr>
            <w:tcW w:w="8079" w:type="dxa"/>
          </w:tcPr>
          <w:p w:rsidR="0001540F" w:rsidRDefault="0001540F" w:rsidP="008612C3">
            <w:pPr>
              <w:rPr>
                <w:rFonts w:cs="Arial"/>
                <w:lang w:val="ru-RU"/>
              </w:rPr>
            </w:pPr>
            <w:r w:rsidRPr="00A056F5">
              <w:rPr>
                <w:rFonts w:cs="Arial"/>
                <w:szCs w:val="22"/>
                <w:lang w:val="ru-RU"/>
              </w:rPr>
              <w:t>Исключительно высокие уровни кредитного риска</w:t>
            </w:r>
          </w:p>
          <w:p w:rsidR="0001540F" w:rsidRPr="00A056F5" w:rsidRDefault="0001540F" w:rsidP="008612C3">
            <w:pPr>
              <w:rPr>
                <w:rFonts w:cs="Arial"/>
                <w:lang w:val="ru-RU"/>
              </w:rPr>
            </w:pPr>
            <w:r w:rsidRPr="00A056F5">
              <w:rPr>
                <w:rFonts w:cs="Arial"/>
                <w:szCs w:val="22"/>
                <w:lang w:val="ru-RU"/>
              </w:rPr>
              <w:t>Дефолт является бли</w:t>
            </w:r>
            <w:r>
              <w:rPr>
                <w:rFonts w:cs="Arial"/>
                <w:szCs w:val="22"/>
                <w:lang w:val="ru-RU"/>
              </w:rPr>
              <w:t>зким или неизбежным, или заемщик</w:t>
            </w:r>
            <w:r w:rsidRPr="00A056F5">
              <w:rPr>
                <w:rFonts w:cs="Arial"/>
                <w:szCs w:val="22"/>
                <w:lang w:val="ru-RU"/>
              </w:rPr>
              <w:t xml:space="preserve"> приостановил деятельность. Для рейтинга категории «</w:t>
            </w:r>
            <w:r w:rsidRPr="00A056F5">
              <w:rPr>
                <w:rFonts w:cs="Arial"/>
                <w:szCs w:val="22"/>
                <w:lang w:val="en-US"/>
              </w:rPr>
              <w:t>C</w:t>
            </w:r>
            <w:r w:rsidRPr="00A056F5">
              <w:rPr>
                <w:rFonts w:cs="Arial"/>
                <w:szCs w:val="22"/>
                <w:lang w:val="ru-RU"/>
              </w:rPr>
              <w:t>» характерны следующие факторы в отношении эмитента:</w:t>
            </w:r>
          </w:p>
          <w:p w:rsidR="0001540F" w:rsidRPr="00A056F5" w:rsidRDefault="0001540F" w:rsidP="008612C3">
            <w:pPr>
              <w:rPr>
                <w:rFonts w:cs="Arial"/>
                <w:lang w:val="ru-RU"/>
              </w:rPr>
            </w:pPr>
            <w:r>
              <w:rPr>
                <w:rFonts w:cs="Arial"/>
                <w:szCs w:val="22"/>
                <w:lang w:val="ru-RU"/>
              </w:rPr>
              <w:t>- заемщик</w:t>
            </w:r>
            <w:r w:rsidRPr="00A056F5">
              <w:rPr>
                <w:rFonts w:cs="Arial"/>
                <w:szCs w:val="22"/>
                <w:lang w:val="ru-RU"/>
              </w:rPr>
              <w:t xml:space="preserve"> вступил в льготный период или период устранения нарушений после неплатежа по существенным финансовым обязательствам</w:t>
            </w:r>
            <w:r>
              <w:rPr>
                <w:rFonts w:cs="Arial"/>
                <w:szCs w:val="22"/>
                <w:lang w:val="ru-RU"/>
              </w:rPr>
              <w:t>;</w:t>
            </w:r>
          </w:p>
          <w:p w:rsidR="0001540F" w:rsidRPr="00A056F5" w:rsidRDefault="0001540F" w:rsidP="008612C3">
            <w:pPr>
              <w:rPr>
                <w:rFonts w:cs="Arial"/>
                <w:lang w:val="ru-RU"/>
              </w:rPr>
            </w:pPr>
            <w:r>
              <w:rPr>
                <w:rFonts w:cs="Arial"/>
                <w:szCs w:val="22"/>
                <w:lang w:val="ru-RU"/>
              </w:rPr>
              <w:t>- заемщик</w:t>
            </w:r>
            <w:r w:rsidRPr="00A056F5">
              <w:rPr>
                <w:rFonts w:cs="Arial"/>
                <w:szCs w:val="22"/>
                <w:lang w:val="ru-RU"/>
              </w:rPr>
              <w:t xml:space="preserve"> договорился о временном разрешении на невыполнение обязательств или заключил соглашение о прекращении выплат по обязательствам после дефолта по существенны</w:t>
            </w:r>
            <w:r>
              <w:rPr>
                <w:rFonts w:cs="Arial"/>
                <w:szCs w:val="22"/>
                <w:lang w:val="ru-RU"/>
              </w:rPr>
              <w:t>м финансовым обязательствам;</w:t>
            </w:r>
          </w:p>
          <w:p w:rsidR="0001540F" w:rsidRPr="00A056F5" w:rsidRDefault="0001540F" w:rsidP="008612C3">
            <w:pPr>
              <w:rPr>
                <w:rFonts w:cs="Arial"/>
                <w:lang w:val="ru-RU"/>
              </w:rPr>
            </w:pPr>
            <w:r>
              <w:rPr>
                <w:rFonts w:cs="Arial"/>
                <w:szCs w:val="22"/>
                <w:lang w:val="ru-RU"/>
              </w:rPr>
              <w:t>-</w:t>
            </w:r>
            <w:r w:rsidRPr="00A056F5">
              <w:rPr>
                <w:rFonts w:cs="Arial"/>
                <w:szCs w:val="22"/>
                <w:lang w:val="ru-RU"/>
              </w:rPr>
              <w:t xml:space="preserve"> </w:t>
            </w:r>
            <w:r w:rsidRPr="00A056F5">
              <w:rPr>
                <w:rFonts w:cs="Arial"/>
                <w:szCs w:val="22"/>
                <w:lang w:val="en-US"/>
              </w:rPr>
              <w:t>Fitch</w:t>
            </w:r>
            <w:r w:rsidRPr="00A056F5">
              <w:rPr>
                <w:rFonts w:cs="Arial"/>
                <w:szCs w:val="22"/>
                <w:lang w:val="ru-RU"/>
              </w:rPr>
              <w:t xml:space="preserve"> по иным причинам считает, что ситуация, соответствующая рейтингу «</w:t>
            </w:r>
            <w:r w:rsidRPr="00A056F5">
              <w:rPr>
                <w:rFonts w:cs="Arial"/>
                <w:szCs w:val="22"/>
                <w:lang w:val="en-US"/>
              </w:rPr>
              <w:t>RD</w:t>
            </w:r>
            <w:r w:rsidRPr="00A056F5">
              <w:rPr>
                <w:rFonts w:cs="Arial"/>
                <w:szCs w:val="22"/>
                <w:lang w:val="ru-RU"/>
              </w:rPr>
              <w:t>» или «</w:t>
            </w:r>
            <w:r w:rsidRPr="00A056F5">
              <w:rPr>
                <w:rFonts w:cs="Arial"/>
                <w:szCs w:val="22"/>
                <w:lang w:val="en-US"/>
              </w:rPr>
              <w:t>D</w:t>
            </w:r>
            <w:r w:rsidRPr="00A056F5">
              <w:rPr>
                <w:rFonts w:cs="Arial"/>
                <w:szCs w:val="22"/>
                <w:lang w:val="ru-RU"/>
              </w:rPr>
              <w:t>», является близкой или неизбежной, в том числе ввиду официального объявления об обмене проблемных обязательств.</w:t>
            </w:r>
          </w:p>
        </w:tc>
      </w:tr>
      <w:tr w:rsidR="0001540F" w:rsidRPr="00487B52" w:rsidTr="00A11909">
        <w:trPr>
          <w:trHeight w:val="5739"/>
        </w:trPr>
        <w:tc>
          <w:tcPr>
            <w:tcW w:w="736" w:type="dxa"/>
            <w:vMerge/>
            <w:tcBorders>
              <w:bottom w:val="single" w:sz="4" w:space="0" w:color="auto"/>
            </w:tcBorders>
          </w:tcPr>
          <w:p w:rsidR="0001540F" w:rsidRPr="00A056F5" w:rsidRDefault="0001540F" w:rsidP="008612C3">
            <w:pPr>
              <w:ind w:left="-66"/>
              <w:rPr>
                <w:rFonts w:cs="Arial"/>
                <w:b/>
                <w:color w:val="FF0000"/>
                <w:lang w:val="ru-RU"/>
              </w:rPr>
            </w:pPr>
          </w:p>
        </w:tc>
        <w:tc>
          <w:tcPr>
            <w:tcW w:w="841" w:type="dxa"/>
          </w:tcPr>
          <w:p w:rsidR="0001540F" w:rsidRPr="00A056F5" w:rsidRDefault="0001540F" w:rsidP="008612C3">
            <w:pPr>
              <w:ind w:left="-66"/>
              <w:rPr>
                <w:rFonts w:cs="Arial"/>
                <w:b/>
                <w:lang w:val="en-US"/>
              </w:rPr>
            </w:pPr>
            <w:r w:rsidRPr="00A056F5">
              <w:rPr>
                <w:rFonts w:cs="Arial"/>
                <w:b/>
                <w:color w:val="FF0000"/>
                <w:szCs w:val="22"/>
                <w:lang w:val="en-US"/>
              </w:rPr>
              <w:t>RD</w:t>
            </w:r>
          </w:p>
        </w:tc>
        <w:tc>
          <w:tcPr>
            <w:tcW w:w="8079" w:type="dxa"/>
          </w:tcPr>
          <w:p w:rsidR="0001540F" w:rsidRDefault="0001540F" w:rsidP="008612C3">
            <w:pPr>
              <w:rPr>
                <w:rFonts w:cs="Arial"/>
                <w:lang w:val="ru-RU"/>
              </w:rPr>
            </w:pPr>
            <w:proofErr w:type="spellStart"/>
            <w:r w:rsidRPr="00A056F5">
              <w:rPr>
                <w:rFonts w:cs="Arial"/>
                <w:szCs w:val="22"/>
                <w:lang w:val="en-US"/>
              </w:rPr>
              <w:t>Ограниченный</w:t>
            </w:r>
            <w:proofErr w:type="spellEnd"/>
            <w:r w:rsidRPr="00A056F5">
              <w:rPr>
                <w:rFonts w:cs="Arial"/>
                <w:szCs w:val="22"/>
                <w:lang w:val="en-US"/>
              </w:rPr>
              <w:t xml:space="preserve"> </w:t>
            </w:r>
            <w:proofErr w:type="spellStart"/>
            <w:r w:rsidRPr="00A056F5">
              <w:rPr>
                <w:rFonts w:cs="Arial"/>
                <w:szCs w:val="22"/>
                <w:lang w:val="en-US"/>
              </w:rPr>
              <w:t>дефолт</w:t>
            </w:r>
            <w:proofErr w:type="spellEnd"/>
          </w:p>
          <w:p w:rsidR="0001540F" w:rsidRPr="00A056F5" w:rsidRDefault="0001540F" w:rsidP="008612C3">
            <w:pPr>
              <w:rPr>
                <w:rFonts w:cs="Arial"/>
                <w:lang w:val="ru-RU"/>
              </w:rPr>
            </w:pPr>
            <w:r>
              <w:rPr>
                <w:rFonts w:cs="Arial"/>
                <w:szCs w:val="22"/>
                <w:lang w:val="ru-RU"/>
              </w:rPr>
              <w:t>Заемщик</w:t>
            </w:r>
            <w:r w:rsidRPr="00A056F5">
              <w:rPr>
                <w:rFonts w:cs="Arial"/>
                <w:szCs w:val="22"/>
                <w:lang w:val="ru-RU"/>
              </w:rPr>
              <w:t xml:space="preserve"> допустил и не устранил де</w:t>
            </w:r>
            <w:r>
              <w:rPr>
                <w:rFonts w:cs="Arial"/>
                <w:szCs w:val="22"/>
                <w:lang w:val="ru-RU"/>
              </w:rPr>
              <w:t>фолт по платежам</w:t>
            </w:r>
            <w:r w:rsidRPr="00A056F5">
              <w:rPr>
                <w:rFonts w:cs="Arial"/>
                <w:szCs w:val="22"/>
                <w:lang w:val="ru-RU"/>
              </w:rPr>
              <w:t>, но в отношении него н</w:t>
            </w:r>
            <w:r>
              <w:rPr>
                <w:rFonts w:cs="Arial"/>
                <w:szCs w:val="22"/>
                <w:lang w:val="ru-RU"/>
              </w:rPr>
              <w:t xml:space="preserve">е начата процедура банкротства </w:t>
            </w:r>
            <w:r w:rsidRPr="00A056F5">
              <w:rPr>
                <w:rFonts w:cs="Arial"/>
                <w:szCs w:val="22"/>
                <w:lang w:val="ru-RU"/>
              </w:rPr>
              <w:t>или другие официальные процедуры прекращен</w:t>
            </w:r>
            <w:r>
              <w:rPr>
                <w:rFonts w:cs="Arial"/>
                <w:szCs w:val="22"/>
                <w:lang w:val="ru-RU"/>
              </w:rPr>
              <w:t>ия деятельности, и заемщик</w:t>
            </w:r>
            <w:r w:rsidRPr="00A056F5">
              <w:rPr>
                <w:rFonts w:cs="Arial"/>
                <w:szCs w:val="22"/>
                <w:lang w:val="ru-RU"/>
              </w:rPr>
              <w:t xml:space="preserve"> не прекращал деятельность каким-либо иным образом. К случаям ограниченного дефолта относятся:</w:t>
            </w:r>
          </w:p>
          <w:p w:rsidR="0001540F" w:rsidRPr="00A056F5" w:rsidRDefault="0001540F" w:rsidP="008612C3">
            <w:pPr>
              <w:rPr>
                <w:rFonts w:cs="Arial"/>
                <w:lang w:val="ru-RU"/>
              </w:rPr>
            </w:pPr>
            <w:r>
              <w:rPr>
                <w:rFonts w:cs="Arial"/>
                <w:szCs w:val="22"/>
                <w:lang w:val="ru-RU"/>
              </w:rPr>
              <w:t>-</w:t>
            </w:r>
            <w:r w:rsidRPr="00A056F5">
              <w:rPr>
                <w:rFonts w:cs="Arial"/>
                <w:szCs w:val="22"/>
                <w:lang w:val="ru-RU"/>
              </w:rPr>
              <w:t xml:space="preserve"> выборочный дефолт по платежам по конкретным классам долговых обязательств или долговым обязательствам в определенной валюте</w:t>
            </w:r>
            <w:r>
              <w:rPr>
                <w:rFonts w:cs="Arial"/>
                <w:szCs w:val="22"/>
                <w:lang w:val="ru-RU"/>
              </w:rPr>
              <w:t>;</w:t>
            </w:r>
          </w:p>
          <w:p w:rsidR="0001540F" w:rsidRPr="00A056F5" w:rsidRDefault="0001540F" w:rsidP="008612C3">
            <w:pPr>
              <w:rPr>
                <w:rFonts w:cs="Arial"/>
                <w:lang w:val="ru-RU"/>
              </w:rPr>
            </w:pPr>
            <w:r>
              <w:rPr>
                <w:rFonts w:cs="Arial"/>
                <w:szCs w:val="22"/>
                <w:lang w:val="ru-RU"/>
              </w:rPr>
              <w:t>-</w:t>
            </w:r>
            <w:r w:rsidRPr="00A056F5">
              <w:rPr>
                <w:rFonts w:cs="Arial"/>
                <w:szCs w:val="22"/>
                <w:lang w:val="ru-RU"/>
              </w:rPr>
              <w:t xml:space="preserve"> истечение льготного периода, в течение которого так и не были проведены необходимые платежи, истечение периода, установленного на устранение нарушений, или периода отказа от применения принудительных мер при дефолте по платежам по банковскому кредиту, ценным бумагам, выпущенным на рынках капитала, или другим существенным финансовым обязательствам</w:t>
            </w:r>
            <w:r>
              <w:rPr>
                <w:rFonts w:cs="Arial"/>
                <w:szCs w:val="22"/>
                <w:lang w:val="ru-RU"/>
              </w:rPr>
              <w:t>;</w:t>
            </w:r>
          </w:p>
          <w:p w:rsidR="0001540F" w:rsidRPr="00A056F5" w:rsidRDefault="0001540F" w:rsidP="008612C3">
            <w:pPr>
              <w:rPr>
                <w:rFonts w:cs="Arial"/>
                <w:lang w:val="ru-RU"/>
              </w:rPr>
            </w:pPr>
            <w:r>
              <w:rPr>
                <w:rFonts w:cs="Arial"/>
                <w:szCs w:val="22"/>
                <w:lang w:val="ru-RU"/>
              </w:rPr>
              <w:t>-</w:t>
            </w:r>
            <w:r w:rsidRPr="00A056F5">
              <w:rPr>
                <w:rFonts w:cs="Arial"/>
                <w:szCs w:val="22"/>
                <w:lang w:val="ru-RU"/>
              </w:rPr>
              <w:t xml:space="preserve"> получение ряда разрешений на невыполнение обязательств или временные отказы от применения принудительных мер при дефолте по платежам по одному или нескольким существенным финансовым обязательствам, как одновременно, так и по отдельности</w:t>
            </w:r>
            <w:r>
              <w:rPr>
                <w:rFonts w:cs="Arial"/>
                <w:szCs w:val="22"/>
                <w:lang w:val="ru-RU"/>
              </w:rPr>
              <w:t>;</w:t>
            </w:r>
          </w:p>
          <w:p w:rsidR="0001540F" w:rsidRPr="00487B52" w:rsidRDefault="0001540F" w:rsidP="008612C3">
            <w:pPr>
              <w:rPr>
                <w:rFonts w:cs="Arial"/>
                <w:lang w:val="ru-RU"/>
              </w:rPr>
            </w:pPr>
            <w:r>
              <w:rPr>
                <w:rFonts w:cs="Arial"/>
                <w:szCs w:val="22"/>
                <w:lang w:val="ru-RU"/>
              </w:rPr>
              <w:t>-</w:t>
            </w:r>
            <w:r w:rsidRPr="00A056F5">
              <w:rPr>
                <w:rFonts w:cs="Arial"/>
                <w:szCs w:val="22"/>
                <w:lang w:val="ru-RU"/>
              </w:rPr>
              <w:t xml:space="preserve"> применение обмена проблемных долговых обязательств по одному или нескольким существенным финансовым обязательствам.</w:t>
            </w:r>
          </w:p>
        </w:tc>
      </w:tr>
      <w:tr w:rsidR="0001540F" w:rsidRPr="00487B52" w:rsidTr="00A11909">
        <w:trPr>
          <w:trHeight w:val="535"/>
        </w:trPr>
        <w:tc>
          <w:tcPr>
            <w:tcW w:w="736" w:type="dxa"/>
            <w:tcBorders>
              <w:top w:val="single" w:sz="4" w:space="0" w:color="auto"/>
            </w:tcBorders>
          </w:tcPr>
          <w:p w:rsidR="0001540F" w:rsidRPr="00A056F5" w:rsidRDefault="0001540F" w:rsidP="008612C3">
            <w:pPr>
              <w:ind w:left="-66"/>
              <w:rPr>
                <w:rFonts w:cs="Arial"/>
                <w:b/>
                <w:color w:val="FF0000"/>
                <w:lang w:val="ru-RU"/>
              </w:rPr>
            </w:pPr>
          </w:p>
        </w:tc>
        <w:tc>
          <w:tcPr>
            <w:tcW w:w="841" w:type="dxa"/>
          </w:tcPr>
          <w:p w:rsidR="0001540F" w:rsidRPr="00A056F5" w:rsidRDefault="0001540F" w:rsidP="008612C3">
            <w:pPr>
              <w:ind w:left="-66"/>
              <w:rPr>
                <w:rFonts w:cs="Arial"/>
                <w:b/>
                <w:color w:val="FF0000"/>
                <w:lang w:val="en-US"/>
              </w:rPr>
            </w:pPr>
            <w:r w:rsidRPr="00A056F5">
              <w:rPr>
                <w:rFonts w:cs="Arial"/>
                <w:b/>
                <w:color w:val="FF0000"/>
                <w:szCs w:val="22"/>
                <w:lang w:val="en-US"/>
              </w:rPr>
              <w:t>D</w:t>
            </w:r>
          </w:p>
        </w:tc>
        <w:tc>
          <w:tcPr>
            <w:tcW w:w="8079" w:type="dxa"/>
          </w:tcPr>
          <w:p w:rsidR="0001540F" w:rsidRPr="00A056F5" w:rsidRDefault="0001540F" w:rsidP="008612C3">
            <w:pPr>
              <w:rPr>
                <w:rFonts w:cs="Arial"/>
                <w:lang w:val="ru-RU"/>
              </w:rPr>
            </w:pPr>
            <w:r w:rsidRPr="00A056F5">
              <w:rPr>
                <w:rFonts w:cs="Arial"/>
                <w:szCs w:val="22"/>
                <w:lang w:val="ru-RU"/>
              </w:rPr>
              <w:t>Дефолт</w:t>
            </w:r>
          </w:p>
          <w:p w:rsidR="0001540F" w:rsidRPr="00A056F5" w:rsidRDefault="0001540F" w:rsidP="008612C3">
            <w:pPr>
              <w:rPr>
                <w:rFonts w:cs="Arial"/>
                <w:lang w:val="ru-RU"/>
              </w:rPr>
            </w:pPr>
            <w:r>
              <w:rPr>
                <w:rFonts w:cs="Arial"/>
                <w:szCs w:val="22"/>
                <w:lang w:val="ru-RU"/>
              </w:rPr>
              <w:t>В</w:t>
            </w:r>
            <w:r w:rsidRPr="00A056F5">
              <w:rPr>
                <w:rFonts w:cs="Arial"/>
                <w:szCs w:val="22"/>
                <w:lang w:val="ru-RU"/>
              </w:rPr>
              <w:t xml:space="preserve"> отно</w:t>
            </w:r>
            <w:r>
              <w:rPr>
                <w:rFonts w:cs="Arial"/>
                <w:szCs w:val="22"/>
                <w:lang w:val="ru-RU"/>
              </w:rPr>
              <w:t xml:space="preserve">шении заемщика начата процедура </w:t>
            </w:r>
            <w:r w:rsidRPr="00A056F5">
              <w:rPr>
                <w:rFonts w:cs="Arial"/>
                <w:szCs w:val="22"/>
                <w:lang w:val="ru-RU"/>
              </w:rPr>
              <w:t>б</w:t>
            </w:r>
            <w:r>
              <w:rPr>
                <w:rFonts w:cs="Arial"/>
                <w:szCs w:val="22"/>
                <w:lang w:val="ru-RU"/>
              </w:rPr>
              <w:t>анкротства</w:t>
            </w:r>
            <w:r w:rsidRPr="00A056F5">
              <w:rPr>
                <w:rFonts w:cs="Arial"/>
                <w:szCs w:val="22"/>
                <w:lang w:val="ru-RU"/>
              </w:rPr>
              <w:t xml:space="preserve"> или другие официальные процедуры прекр</w:t>
            </w:r>
            <w:r>
              <w:rPr>
                <w:rFonts w:cs="Arial"/>
                <w:szCs w:val="22"/>
                <w:lang w:val="ru-RU"/>
              </w:rPr>
              <w:t>ащения деятельности, или заемщик</w:t>
            </w:r>
            <w:r w:rsidRPr="00A056F5">
              <w:rPr>
                <w:rFonts w:cs="Arial"/>
                <w:szCs w:val="22"/>
                <w:lang w:val="ru-RU"/>
              </w:rPr>
              <w:t xml:space="preserve"> иным образом прекратил деятельность.</w:t>
            </w:r>
          </w:p>
          <w:p w:rsidR="0001540F" w:rsidRPr="008612C3" w:rsidRDefault="0001540F" w:rsidP="000724B2">
            <w:pPr>
              <w:rPr>
                <w:rFonts w:cs="Arial"/>
                <w:lang w:val="ru-RU"/>
              </w:rPr>
            </w:pPr>
            <w:r>
              <w:rPr>
                <w:rFonts w:cs="Arial"/>
                <w:szCs w:val="22"/>
                <w:lang w:val="ru-RU"/>
              </w:rPr>
              <w:t>Н</w:t>
            </w:r>
            <w:r w:rsidRPr="00A056F5">
              <w:rPr>
                <w:rFonts w:cs="Arial"/>
                <w:szCs w:val="22"/>
                <w:lang w:val="ru-RU"/>
              </w:rPr>
              <w:t>еплатежи по инструменту, условиями выпуска которых предусмотрена отсрочка платежей ил</w:t>
            </w:r>
            <w:r>
              <w:rPr>
                <w:rFonts w:cs="Arial"/>
                <w:szCs w:val="22"/>
                <w:lang w:val="ru-RU"/>
              </w:rPr>
              <w:t xml:space="preserve">и льготный период </w:t>
            </w:r>
            <w:r w:rsidRPr="00A056F5">
              <w:rPr>
                <w:rFonts w:cs="Arial"/>
                <w:szCs w:val="22"/>
                <w:lang w:val="ru-RU"/>
              </w:rPr>
              <w:t xml:space="preserve">не будут рассматриваться как дефолт </w:t>
            </w:r>
            <w:r>
              <w:rPr>
                <w:rFonts w:cs="Arial"/>
                <w:szCs w:val="22"/>
                <w:lang w:val="ru-RU"/>
              </w:rPr>
              <w:t xml:space="preserve">до истечения </w:t>
            </w:r>
            <w:r w:rsidRPr="00A056F5">
              <w:rPr>
                <w:rFonts w:cs="Arial"/>
                <w:szCs w:val="22"/>
                <w:lang w:val="ru-RU"/>
              </w:rPr>
              <w:t xml:space="preserve">периода отсрочки или льготного периода, если </w:t>
            </w:r>
            <w:r w:rsidRPr="00A056F5">
              <w:rPr>
                <w:rFonts w:cs="Arial"/>
                <w:szCs w:val="22"/>
                <w:lang w:val="ru-RU"/>
              </w:rPr>
              <w:lastRenderedPageBreak/>
              <w:t>только дефолт не вызван банкротством/аналогичными обстоятельствами или обменом проблемных долговых обязательств.</w:t>
            </w:r>
          </w:p>
        </w:tc>
      </w:tr>
    </w:tbl>
    <w:p w:rsidR="0001540F" w:rsidRPr="00946211" w:rsidRDefault="0001540F" w:rsidP="001A1C0D">
      <w:pPr>
        <w:rPr>
          <w:lang w:val="en-US"/>
        </w:rPr>
      </w:pPr>
    </w:p>
    <w:p w:rsidR="0001540F" w:rsidRPr="00031E53" w:rsidRDefault="0001540F" w:rsidP="001A1C0D">
      <w:pPr>
        <w:rPr>
          <w:lang w:val="ru-RU"/>
        </w:rPr>
      </w:pPr>
    </w:p>
    <w:p w:rsidR="0001540F" w:rsidRPr="00EA60EC" w:rsidRDefault="0001540F" w:rsidP="001A1C0D">
      <w:pPr>
        <w:rPr>
          <w:b/>
          <w:lang w:val="en-US"/>
        </w:rPr>
      </w:pPr>
      <w:r w:rsidRPr="00EA60EC">
        <w:rPr>
          <w:b/>
          <w:lang w:val="en-US"/>
        </w:rPr>
        <w:t>Moody’s</w:t>
      </w:r>
      <w:r w:rsidRPr="00EA60EC">
        <w:rPr>
          <w:b/>
          <w:lang w:val="ru-RU"/>
        </w:rPr>
        <w:t xml:space="preserve"> </w:t>
      </w:r>
      <w:r w:rsidRPr="00EA60EC">
        <w:rPr>
          <w:b/>
          <w:lang w:val="en-US"/>
        </w:rPr>
        <w:t>Investors service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2"/>
        <w:gridCol w:w="838"/>
        <w:gridCol w:w="8079"/>
      </w:tblGrid>
      <w:tr w:rsidR="0001540F" w:rsidRPr="00B232CC" w:rsidTr="00B13265">
        <w:trPr>
          <w:trHeight w:val="859"/>
        </w:trPr>
        <w:tc>
          <w:tcPr>
            <w:tcW w:w="722" w:type="dxa"/>
            <w:vMerge w:val="restart"/>
            <w:textDirection w:val="btLr"/>
          </w:tcPr>
          <w:p w:rsidR="0001540F" w:rsidRPr="00905401" w:rsidRDefault="0001540F" w:rsidP="00905401">
            <w:pPr>
              <w:ind w:left="113" w:right="113"/>
              <w:jc w:val="center"/>
              <w:rPr>
                <w:b/>
                <w:color w:val="339933"/>
                <w:lang w:val="ru-RU"/>
              </w:rPr>
            </w:pPr>
            <w:r>
              <w:rPr>
                <w:b/>
                <w:color w:val="339933"/>
                <w:lang w:val="ru-RU"/>
              </w:rPr>
              <w:t>Инвестиционные рейтинги</w:t>
            </w:r>
          </w:p>
        </w:tc>
        <w:tc>
          <w:tcPr>
            <w:tcW w:w="838" w:type="dxa"/>
          </w:tcPr>
          <w:p w:rsidR="0001540F" w:rsidRPr="00907699" w:rsidRDefault="0001540F" w:rsidP="001A1C0D">
            <w:pPr>
              <w:rPr>
                <w:b/>
                <w:lang w:val="en-US"/>
              </w:rPr>
            </w:pPr>
            <w:proofErr w:type="spellStart"/>
            <w:r w:rsidRPr="00907699">
              <w:rPr>
                <w:b/>
                <w:color w:val="339933"/>
                <w:lang w:val="en-US"/>
              </w:rPr>
              <w:t>Aaa</w:t>
            </w:r>
            <w:proofErr w:type="spellEnd"/>
          </w:p>
        </w:tc>
        <w:tc>
          <w:tcPr>
            <w:tcW w:w="8079" w:type="dxa"/>
            <w:vAlign w:val="center"/>
          </w:tcPr>
          <w:p w:rsidR="0001540F" w:rsidRPr="00031E53" w:rsidRDefault="0001540F" w:rsidP="00BA4B87">
            <w:pPr>
              <w:rPr>
                <w:lang w:val="ru-RU"/>
              </w:rPr>
            </w:pPr>
            <w:r>
              <w:rPr>
                <w:lang w:val="ru-RU"/>
              </w:rPr>
              <w:t>Заемщик обладает исключительной кредитоспособностью. Его финансовые обязательства</w:t>
            </w:r>
            <w:r w:rsidRPr="00031E53">
              <w:rPr>
                <w:lang w:val="ru-RU"/>
              </w:rPr>
              <w:t xml:space="preserve"> считаются обязательствами наивысшего</w:t>
            </w:r>
            <w:r>
              <w:rPr>
                <w:lang w:val="ru-RU"/>
              </w:rPr>
              <w:t xml:space="preserve"> </w:t>
            </w:r>
            <w:r w:rsidRPr="00031E53">
              <w:rPr>
                <w:lang w:val="ru-RU"/>
              </w:rPr>
              <w:t>качества с минимальным кредитным риском.</w:t>
            </w:r>
          </w:p>
        </w:tc>
      </w:tr>
      <w:tr w:rsidR="0001540F" w:rsidRPr="00B232CC" w:rsidTr="00B13265">
        <w:trPr>
          <w:trHeight w:val="543"/>
        </w:trPr>
        <w:tc>
          <w:tcPr>
            <w:tcW w:w="722" w:type="dxa"/>
            <w:vMerge/>
          </w:tcPr>
          <w:p w:rsidR="0001540F" w:rsidRPr="003F640B" w:rsidRDefault="0001540F" w:rsidP="001A1C0D">
            <w:pPr>
              <w:rPr>
                <w:b/>
                <w:color w:val="339933"/>
                <w:lang w:val="ru-RU"/>
              </w:rPr>
            </w:pPr>
          </w:p>
        </w:tc>
        <w:tc>
          <w:tcPr>
            <w:tcW w:w="838" w:type="dxa"/>
          </w:tcPr>
          <w:p w:rsidR="0001540F" w:rsidRDefault="0001540F" w:rsidP="001A1C0D">
            <w:pPr>
              <w:rPr>
                <w:b/>
                <w:color w:val="339933"/>
                <w:lang w:val="ru-RU"/>
              </w:rPr>
            </w:pPr>
            <w:proofErr w:type="spellStart"/>
            <w:r w:rsidRPr="00AD0857">
              <w:rPr>
                <w:b/>
                <w:color w:val="339933"/>
                <w:lang w:val="en-US"/>
              </w:rPr>
              <w:t>Aa</w:t>
            </w:r>
            <w:proofErr w:type="spellEnd"/>
            <w:r>
              <w:rPr>
                <w:b/>
                <w:color w:val="339933"/>
                <w:lang w:val="ru-RU"/>
              </w:rPr>
              <w:t>1</w:t>
            </w:r>
          </w:p>
          <w:p w:rsidR="0001540F" w:rsidRDefault="0001540F" w:rsidP="001A1C0D">
            <w:pPr>
              <w:rPr>
                <w:b/>
                <w:color w:val="339933"/>
                <w:lang w:val="ru-RU"/>
              </w:rPr>
            </w:pPr>
            <w:proofErr w:type="spellStart"/>
            <w:r w:rsidRPr="00AD0857">
              <w:rPr>
                <w:b/>
                <w:color w:val="339933"/>
                <w:lang w:val="en-US"/>
              </w:rPr>
              <w:t>Aa</w:t>
            </w:r>
            <w:proofErr w:type="spellEnd"/>
            <w:r>
              <w:rPr>
                <w:b/>
                <w:color w:val="339933"/>
                <w:lang w:val="ru-RU"/>
              </w:rPr>
              <w:t>2</w:t>
            </w:r>
          </w:p>
          <w:p w:rsidR="0001540F" w:rsidRPr="00D40DFC" w:rsidRDefault="0001540F" w:rsidP="001A1C0D">
            <w:pPr>
              <w:rPr>
                <w:b/>
                <w:lang w:val="ru-RU"/>
              </w:rPr>
            </w:pPr>
            <w:proofErr w:type="spellStart"/>
            <w:r w:rsidRPr="00AD0857">
              <w:rPr>
                <w:b/>
                <w:color w:val="339933"/>
                <w:lang w:val="en-US"/>
              </w:rPr>
              <w:t>Aa</w:t>
            </w:r>
            <w:proofErr w:type="spellEnd"/>
            <w:r>
              <w:rPr>
                <w:b/>
                <w:color w:val="339933"/>
                <w:lang w:val="ru-RU"/>
              </w:rPr>
              <w:t>3</w:t>
            </w:r>
          </w:p>
        </w:tc>
        <w:tc>
          <w:tcPr>
            <w:tcW w:w="8079" w:type="dxa"/>
            <w:vAlign w:val="center"/>
          </w:tcPr>
          <w:p w:rsidR="0001540F" w:rsidRPr="00907699" w:rsidRDefault="0001540F" w:rsidP="00BA4B87">
            <w:pPr>
              <w:rPr>
                <w:lang w:val="ru-RU"/>
              </w:rPr>
            </w:pPr>
            <w:r>
              <w:rPr>
                <w:lang w:val="ru-RU"/>
              </w:rPr>
              <w:t xml:space="preserve">Заемщик обладает высокой кредитоспособностью. Его финансовые обязательства </w:t>
            </w:r>
            <w:r w:rsidRPr="00031E53">
              <w:rPr>
                <w:lang w:val="ru-RU"/>
              </w:rPr>
              <w:t>считаются обязательствами высокого качества с</w:t>
            </w:r>
            <w:r>
              <w:rPr>
                <w:lang w:val="ru-RU"/>
              </w:rPr>
              <w:t xml:space="preserve"> </w:t>
            </w:r>
            <w:r w:rsidRPr="00907699">
              <w:rPr>
                <w:lang w:val="ru-RU"/>
              </w:rPr>
              <w:t>очень низким кредитным риском.</w:t>
            </w:r>
          </w:p>
        </w:tc>
      </w:tr>
      <w:tr w:rsidR="0001540F" w:rsidRPr="00B232CC" w:rsidTr="00B13265">
        <w:trPr>
          <w:trHeight w:val="1160"/>
        </w:trPr>
        <w:tc>
          <w:tcPr>
            <w:tcW w:w="722" w:type="dxa"/>
            <w:vMerge/>
          </w:tcPr>
          <w:p w:rsidR="0001540F" w:rsidRPr="003F640B" w:rsidRDefault="0001540F" w:rsidP="001A1C0D">
            <w:pPr>
              <w:rPr>
                <w:b/>
                <w:color w:val="339933"/>
                <w:lang w:val="ru-RU"/>
              </w:rPr>
            </w:pPr>
          </w:p>
        </w:tc>
        <w:tc>
          <w:tcPr>
            <w:tcW w:w="838" w:type="dxa"/>
          </w:tcPr>
          <w:p w:rsidR="0001540F" w:rsidRDefault="0001540F" w:rsidP="001A1C0D">
            <w:pPr>
              <w:rPr>
                <w:b/>
                <w:color w:val="339933"/>
                <w:lang w:val="ru-RU"/>
              </w:rPr>
            </w:pPr>
            <w:r w:rsidRPr="00AD0857">
              <w:rPr>
                <w:b/>
                <w:color w:val="339933"/>
                <w:lang w:val="en-US"/>
              </w:rPr>
              <w:t>A</w:t>
            </w:r>
            <w:r>
              <w:rPr>
                <w:b/>
                <w:color w:val="339933"/>
                <w:lang w:val="ru-RU"/>
              </w:rPr>
              <w:t>1</w:t>
            </w:r>
          </w:p>
          <w:p w:rsidR="0001540F" w:rsidRDefault="0001540F" w:rsidP="001A1C0D">
            <w:pPr>
              <w:rPr>
                <w:b/>
                <w:color w:val="339933"/>
                <w:lang w:val="ru-RU"/>
              </w:rPr>
            </w:pPr>
            <w:r>
              <w:rPr>
                <w:b/>
                <w:color w:val="339933"/>
                <w:lang w:val="ru-RU"/>
              </w:rPr>
              <w:t>А</w:t>
            </w:r>
            <w:proofErr w:type="gramStart"/>
            <w:r>
              <w:rPr>
                <w:b/>
                <w:color w:val="339933"/>
                <w:lang w:val="ru-RU"/>
              </w:rPr>
              <w:t>2</w:t>
            </w:r>
            <w:proofErr w:type="gramEnd"/>
          </w:p>
          <w:p w:rsidR="0001540F" w:rsidRPr="00D40DFC" w:rsidRDefault="0001540F" w:rsidP="001A1C0D">
            <w:pPr>
              <w:rPr>
                <w:b/>
                <w:lang w:val="ru-RU"/>
              </w:rPr>
            </w:pPr>
            <w:r>
              <w:rPr>
                <w:b/>
                <w:color w:val="339933"/>
                <w:lang w:val="ru-RU"/>
              </w:rPr>
              <w:t>А3</w:t>
            </w:r>
          </w:p>
        </w:tc>
        <w:tc>
          <w:tcPr>
            <w:tcW w:w="8079" w:type="dxa"/>
            <w:vAlign w:val="center"/>
          </w:tcPr>
          <w:p w:rsidR="0001540F" w:rsidRPr="00031E53" w:rsidRDefault="0001540F" w:rsidP="00BA4B87">
            <w:pPr>
              <w:rPr>
                <w:lang w:val="ru-RU"/>
              </w:rPr>
            </w:pPr>
            <w:r>
              <w:rPr>
                <w:lang w:val="ru-RU"/>
              </w:rPr>
              <w:t xml:space="preserve">Кредитоспособность заемщика выше </w:t>
            </w:r>
            <w:proofErr w:type="gramStart"/>
            <w:r>
              <w:rPr>
                <w:lang w:val="ru-RU"/>
              </w:rPr>
              <w:t>средней</w:t>
            </w:r>
            <w:proofErr w:type="gramEnd"/>
            <w:r>
              <w:rPr>
                <w:lang w:val="ru-RU"/>
              </w:rPr>
              <w:t>. Его финансовые обязательства</w:t>
            </w:r>
            <w:r w:rsidRPr="00031E53">
              <w:rPr>
                <w:lang w:val="ru-RU"/>
              </w:rPr>
              <w:t xml:space="preserve"> подвержены низкому кредитному риску.</w:t>
            </w:r>
          </w:p>
        </w:tc>
      </w:tr>
      <w:tr w:rsidR="0001540F" w:rsidRPr="00B232CC" w:rsidTr="00B13265">
        <w:trPr>
          <w:trHeight w:val="533"/>
        </w:trPr>
        <w:tc>
          <w:tcPr>
            <w:tcW w:w="722" w:type="dxa"/>
            <w:vMerge/>
            <w:tcBorders>
              <w:bottom w:val="single" w:sz="4" w:space="0" w:color="auto"/>
            </w:tcBorders>
          </w:tcPr>
          <w:p w:rsidR="0001540F" w:rsidRPr="003F640B" w:rsidRDefault="0001540F" w:rsidP="001A1C0D">
            <w:pPr>
              <w:rPr>
                <w:b/>
                <w:color w:val="339933"/>
                <w:lang w:val="ru-RU"/>
              </w:rPr>
            </w:pPr>
          </w:p>
        </w:tc>
        <w:tc>
          <w:tcPr>
            <w:tcW w:w="838" w:type="dxa"/>
          </w:tcPr>
          <w:p w:rsidR="0001540F" w:rsidRDefault="0001540F" w:rsidP="001A1C0D">
            <w:pPr>
              <w:rPr>
                <w:b/>
                <w:color w:val="339933"/>
                <w:lang w:val="ru-RU"/>
              </w:rPr>
            </w:pPr>
            <w:r w:rsidRPr="00AD0857">
              <w:rPr>
                <w:b/>
                <w:color w:val="339933"/>
                <w:lang w:val="en-US"/>
              </w:rPr>
              <w:t>Baa</w:t>
            </w:r>
            <w:r>
              <w:rPr>
                <w:b/>
                <w:color w:val="339933"/>
                <w:lang w:val="ru-RU"/>
              </w:rPr>
              <w:t>1</w:t>
            </w:r>
          </w:p>
          <w:p w:rsidR="0001540F" w:rsidRDefault="0001540F" w:rsidP="001A1C0D">
            <w:pPr>
              <w:rPr>
                <w:b/>
                <w:color w:val="339933"/>
                <w:lang w:val="de-DE"/>
              </w:rPr>
            </w:pPr>
            <w:r>
              <w:rPr>
                <w:b/>
                <w:color w:val="339933"/>
                <w:lang w:val="en-US"/>
              </w:rPr>
              <w:t>B</w:t>
            </w:r>
            <w:r>
              <w:rPr>
                <w:b/>
                <w:color w:val="339933"/>
                <w:lang w:val="de-DE"/>
              </w:rPr>
              <w:t>aa2</w:t>
            </w:r>
          </w:p>
          <w:p w:rsidR="0001540F" w:rsidRPr="00D40DFC" w:rsidRDefault="0001540F" w:rsidP="001A1C0D">
            <w:pPr>
              <w:rPr>
                <w:b/>
                <w:lang w:val="de-DE"/>
              </w:rPr>
            </w:pPr>
            <w:r>
              <w:rPr>
                <w:b/>
                <w:color w:val="339933"/>
                <w:lang w:val="de-DE"/>
              </w:rPr>
              <w:t>Baa3</w:t>
            </w:r>
          </w:p>
        </w:tc>
        <w:tc>
          <w:tcPr>
            <w:tcW w:w="8079" w:type="dxa"/>
            <w:vAlign w:val="center"/>
          </w:tcPr>
          <w:p w:rsidR="0001540F" w:rsidRPr="006B3D76" w:rsidRDefault="0001540F" w:rsidP="00BA4B87">
            <w:pPr>
              <w:rPr>
                <w:lang w:val="ru-RU"/>
              </w:rPr>
            </w:pPr>
            <w:r>
              <w:rPr>
                <w:lang w:val="ru-RU"/>
              </w:rPr>
              <w:t xml:space="preserve">Кредитоспособность заемщика средняя. Его финансовые обязательства </w:t>
            </w:r>
            <w:r w:rsidRPr="00031E53">
              <w:rPr>
                <w:lang w:val="ru-RU"/>
              </w:rPr>
              <w:t>подверже</w:t>
            </w:r>
            <w:r>
              <w:rPr>
                <w:lang w:val="ru-RU"/>
              </w:rPr>
              <w:t xml:space="preserve">ны умеренному кредитному риску и могут </w:t>
            </w:r>
            <w:r w:rsidRPr="00031E53">
              <w:rPr>
                <w:lang w:val="ru-RU"/>
              </w:rPr>
              <w:t>обладать</w:t>
            </w:r>
            <w:r>
              <w:rPr>
                <w:lang w:val="ru-RU"/>
              </w:rPr>
              <w:t xml:space="preserve"> </w:t>
            </w:r>
            <w:r w:rsidRPr="006B3D76">
              <w:rPr>
                <w:lang w:val="ru-RU"/>
              </w:rPr>
              <w:t>определенными спекулятивными характеристиками.</w:t>
            </w:r>
          </w:p>
        </w:tc>
      </w:tr>
      <w:tr w:rsidR="0001540F" w:rsidRPr="00B232CC" w:rsidTr="00B13265">
        <w:trPr>
          <w:trHeight w:val="664"/>
        </w:trPr>
        <w:tc>
          <w:tcPr>
            <w:tcW w:w="722" w:type="dxa"/>
            <w:vMerge w:val="restart"/>
            <w:tcBorders>
              <w:top w:val="single" w:sz="4" w:space="0" w:color="auto"/>
              <w:left w:val="single" w:sz="4" w:space="0" w:color="auto"/>
              <w:bottom w:val="nil"/>
              <w:right w:val="single" w:sz="4" w:space="0" w:color="auto"/>
            </w:tcBorders>
            <w:textDirection w:val="btLr"/>
          </w:tcPr>
          <w:p w:rsidR="0001540F" w:rsidRPr="002C79FA" w:rsidRDefault="0001540F" w:rsidP="002C79FA">
            <w:pPr>
              <w:ind w:left="113" w:right="113"/>
              <w:rPr>
                <w:b/>
                <w:color w:val="E36C0A"/>
                <w:lang w:val="ru-RU"/>
              </w:rPr>
            </w:pPr>
            <w:r>
              <w:rPr>
                <w:b/>
                <w:color w:val="E36C0A"/>
                <w:lang w:val="ru-RU"/>
              </w:rPr>
              <w:t>Спекулятивные рейтинги</w:t>
            </w:r>
          </w:p>
        </w:tc>
        <w:tc>
          <w:tcPr>
            <w:tcW w:w="838" w:type="dxa"/>
            <w:tcBorders>
              <w:left w:val="single" w:sz="4" w:space="0" w:color="auto"/>
            </w:tcBorders>
          </w:tcPr>
          <w:p w:rsidR="0001540F" w:rsidRDefault="0001540F" w:rsidP="00D2268F">
            <w:pPr>
              <w:rPr>
                <w:b/>
                <w:color w:val="E36C0A"/>
                <w:lang w:val="en-US"/>
              </w:rPr>
            </w:pPr>
            <w:r w:rsidRPr="00AD0857">
              <w:rPr>
                <w:b/>
                <w:color w:val="E36C0A"/>
                <w:lang w:val="en-US"/>
              </w:rPr>
              <w:t>Ba</w:t>
            </w:r>
            <w:r>
              <w:rPr>
                <w:b/>
                <w:color w:val="E36C0A"/>
                <w:lang w:val="en-US"/>
              </w:rPr>
              <w:t>1</w:t>
            </w:r>
          </w:p>
          <w:p w:rsidR="0001540F" w:rsidRDefault="0001540F" w:rsidP="00D2268F">
            <w:pPr>
              <w:rPr>
                <w:b/>
                <w:color w:val="E36C0A"/>
                <w:lang w:val="en-US"/>
              </w:rPr>
            </w:pPr>
            <w:r>
              <w:rPr>
                <w:b/>
                <w:color w:val="E36C0A"/>
                <w:lang w:val="en-US"/>
              </w:rPr>
              <w:t>Ba2</w:t>
            </w:r>
          </w:p>
          <w:p w:rsidR="0001540F" w:rsidRPr="00D40DFC" w:rsidRDefault="0001540F" w:rsidP="00D2268F">
            <w:pPr>
              <w:rPr>
                <w:b/>
                <w:color w:val="E36C0A"/>
                <w:lang w:val="en-US"/>
              </w:rPr>
            </w:pPr>
            <w:r>
              <w:rPr>
                <w:b/>
                <w:color w:val="E36C0A"/>
                <w:lang w:val="en-US"/>
              </w:rPr>
              <w:t>Ba3</w:t>
            </w:r>
          </w:p>
        </w:tc>
        <w:tc>
          <w:tcPr>
            <w:tcW w:w="8079" w:type="dxa"/>
            <w:vAlign w:val="center"/>
          </w:tcPr>
          <w:p w:rsidR="0001540F" w:rsidRPr="00031E53" w:rsidRDefault="0001540F" w:rsidP="00BA4B87">
            <w:pPr>
              <w:rPr>
                <w:lang w:val="ru-RU"/>
              </w:rPr>
            </w:pPr>
            <w:r>
              <w:rPr>
                <w:lang w:val="ru-RU"/>
              </w:rPr>
              <w:t xml:space="preserve">Кредитоспособность заемщика ниже </w:t>
            </w:r>
            <w:proofErr w:type="gramStart"/>
            <w:r>
              <w:rPr>
                <w:lang w:val="ru-RU"/>
              </w:rPr>
              <w:t>средней</w:t>
            </w:r>
            <w:proofErr w:type="gramEnd"/>
            <w:r>
              <w:rPr>
                <w:lang w:val="ru-RU"/>
              </w:rPr>
              <w:t xml:space="preserve">. Его финансовые обязательства </w:t>
            </w:r>
            <w:r w:rsidRPr="00031E53">
              <w:rPr>
                <w:lang w:val="ru-RU"/>
              </w:rPr>
              <w:t>считаются имеющими черты, характерные для</w:t>
            </w:r>
            <w:r>
              <w:rPr>
                <w:lang w:val="ru-RU"/>
              </w:rPr>
              <w:t xml:space="preserve"> </w:t>
            </w:r>
            <w:r w:rsidRPr="00031E53">
              <w:rPr>
                <w:lang w:val="ru-RU"/>
              </w:rPr>
              <w:t>спекулятивных инструментов, и подвержены существенному кредитному риску.</w:t>
            </w:r>
          </w:p>
        </w:tc>
      </w:tr>
      <w:tr w:rsidR="0001540F" w:rsidRPr="00B232CC" w:rsidTr="00B13265">
        <w:trPr>
          <w:trHeight w:val="1072"/>
        </w:trPr>
        <w:tc>
          <w:tcPr>
            <w:tcW w:w="722" w:type="dxa"/>
            <w:vMerge/>
            <w:tcBorders>
              <w:top w:val="nil"/>
              <w:left w:val="single" w:sz="4" w:space="0" w:color="auto"/>
              <w:bottom w:val="nil"/>
              <w:right w:val="single" w:sz="4" w:space="0" w:color="auto"/>
            </w:tcBorders>
          </w:tcPr>
          <w:p w:rsidR="0001540F" w:rsidRPr="003F640B" w:rsidRDefault="0001540F" w:rsidP="001A1C0D">
            <w:pPr>
              <w:rPr>
                <w:b/>
                <w:color w:val="E36C0A"/>
                <w:lang w:val="ru-RU"/>
              </w:rPr>
            </w:pPr>
          </w:p>
        </w:tc>
        <w:tc>
          <w:tcPr>
            <w:tcW w:w="838" w:type="dxa"/>
            <w:tcBorders>
              <w:left w:val="single" w:sz="4" w:space="0" w:color="auto"/>
            </w:tcBorders>
          </w:tcPr>
          <w:p w:rsidR="0001540F" w:rsidRDefault="0001540F" w:rsidP="001A1C0D">
            <w:pPr>
              <w:rPr>
                <w:b/>
                <w:color w:val="E36C0A"/>
                <w:lang w:val="en-US"/>
              </w:rPr>
            </w:pPr>
            <w:r w:rsidRPr="00AD0857">
              <w:rPr>
                <w:b/>
                <w:color w:val="E36C0A"/>
                <w:lang w:val="en-US"/>
              </w:rPr>
              <w:t>B</w:t>
            </w:r>
            <w:r>
              <w:rPr>
                <w:b/>
                <w:color w:val="E36C0A"/>
                <w:lang w:val="en-US"/>
              </w:rPr>
              <w:t>1</w:t>
            </w:r>
          </w:p>
          <w:p w:rsidR="0001540F" w:rsidRDefault="0001540F" w:rsidP="001A1C0D">
            <w:pPr>
              <w:rPr>
                <w:b/>
                <w:color w:val="E36C0A"/>
                <w:lang w:val="en-US"/>
              </w:rPr>
            </w:pPr>
            <w:r>
              <w:rPr>
                <w:b/>
                <w:color w:val="E36C0A"/>
                <w:lang w:val="en-US"/>
              </w:rPr>
              <w:t>B2</w:t>
            </w:r>
          </w:p>
          <w:p w:rsidR="0001540F" w:rsidRPr="00AD0857" w:rsidRDefault="0001540F" w:rsidP="001A1C0D">
            <w:pPr>
              <w:rPr>
                <w:b/>
                <w:lang w:val="en-US"/>
              </w:rPr>
            </w:pPr>
            <w:r>
              <w:rPr>
                <w:b/>
                <w:color w:val="E36C0A"/>
                <w:lang w:val="en-US"/>
              </w:rPr>
              <w:t>B3</w:t>
            </w:r>
          </w:p>
        </w:tc>
        <w:tc>
          <w:tcPr>
            <w:tcW w:w="8079" w:type="dxa"/>
            <w:vAlign w:val="center"/>
          </w:tcPr>
          <w:p w:rsidR="0001540F" w:rsidRPr="00F32EE5" w:rsidRDefault="0001540F" w:rsidP="00BA4B87">
            <w:pPr>
              <w:rPr>
                <w:lang w:val="ru-RU"/>
              </w:rPr>
            </w:pPr>
            <w:r>
              <w:rPr>
                <w:lang w:val="ru-RU"/>
              </w:rPr>
              <w:t xml:space="preserve">Финансовые обязательства заемщика </w:t>
            </w:r>
            <w:r w:rsidRPr="00031E53">
              <w:rPr>
                <w:lang w:val="ru-RU"/>
              </w:rPr>
              <w:t>рассматриваются как спекулятивные и</w:t>
            </w:r>
            <w:r>
              <w:rPr>
                <w:lang w:val="ru-RU"/>
              </w:rPr>
              <w:t xml:space="preserve"> </w:t>
            </w:r>
            <w:r w:rsidRPr="00F32EE5">
              <w:rPr>
                <w:lang w:val="ru-RU"/>
              </w:rPr>
              <w:t>подвержены высокому кредитному риску.</w:t>
            </w:r>
          </w:p>
        </w:tc>
      </w:tr>
      <w:tr w:rsidR="0001540F" w:rsidRPr="00B232CC" w:rsidTr="00B13265">
        <w:trPr>
          <w:trHeight w:val="1124"/>
        </w:trPr>
        <w:tc>
          <w:tcPr>
            <w:tcW w:w="722" w:type="dxa"/>
            <w:vMerge/>
            <w:tcBorders>
              <w:top w:val="nil"/>
              <w:left w:val="single" w:sz="4" w:space="0" w:color="auto"/>
              <w:bottom w:val="nil"/>
              <w:right w:val="single" w:sz="4" w:space="0" w:color="auto"/>
            </w:tcBorders>
          </w:tcPr>
          <w:p w:rsidR="0001540F" w:rsidRPr="003F640B" w:rsidRDefault="0001540F" w:rsidP="001A1C0D">
            <w:pPr>
              <w:rPr>
                <w:b/>
                <w:color w:val="FF0000"/>
                <w:lang w:val="ru-RU"/>
              </w:rPr>
            </w:pPr>
          </w:p>
        </w:tc>
        <w:tc>
          <w:tcPr>
            <w:tcW w:w="838" w:type="dxa"/>
            <w:tcBorders>
              <w:left w:val="single" w:sz="4" w:space="0" w:color="auto"/>
            </w:tcBorders>
          </w:tcPr>
          <w:p w:rsidR="0001540F" w:rsidRDefault="0001540F" w:rsidP="001A1C0D">
            <w:pPr>
              <w:rPr>
                <w:b/>
                <w:color w:val="FF0000"/>
                <w:lang w:val="en-US"/>
              </w:rPr>
            </w:pPr>
            <w:r w:rsidRPr="00AD0857">
              <w:rPr>
                <w:b/>
                <w:color w:val="FF0000"/>
                <w:lang w:val="en-US"/>
              </w:rPr>
              <w:t>Caa</w:t>
            </w:r>
            <w:r>
              <w:rPr>
                <w:b/>
                <w:color w:val="FF0000"/>
                <w:lang w:val="en-US"/>
              </w:rPr>
              <w:t>1</w:t>
            </w:r>
          </w:p>
          <w:p w:rsidR="0001540F" w:rsidRDefault="0001540F" w:rsidP="001A1C0D">
            <w:pPr>
              <w:rPr>
                <w:b/>
                <w:color w:val="FF0000"/>
                <w:lang w:val="en-US"/>
              </w:rPr>
            </w:pPr>
            <w:r>
              <w:rPr>
                <w:b/>
                <w:color w:val="FF0000"/>
                <w:lang w:val="en-US"/>
              </w:rPr>
              <w:t>Caa2</w:t>
            </w:r>
          </w:p>
          <w:p w:rsidR="0001540F" w:rsidRPr="00AD0857" w:rsidRDefault="0001540F" w:rsidP="001A1C0D">
            <w:pPr>
              <w:rPr>
                <w:b/>
                <w:lang w:val="en-US"/>
              </w:rPr>
            </w:pPr>
            <w:r>
              <w:rPr>
                <w:b/>
                <w:color w:val="FF0000"/>
                <w:lang w:val="en-US"/>
              </w:rPr>
              <w:t>Caa3</w:t>
            </w:r>
          </w:p>
        </w:tc>
        <w:tc>
          <w:tcPr>
            <w:tcW w:w="8079" w:type="dxa"/>
            <w:vAlign w:val="center"/>
          </w:tcPr>
          <w:p w:rsidR="0001540F" w:rsidRPr="00031E53" w:rsidRDefault="0001540F" w:rsidP="00BA4B87">
            <w:pPr>
              <w:rPr>
                <w:lang w:val="ru-RU"/>
              </w:rPr>
            </w:pPr>
            <w:r>
              <w:rPr>
                <w:lang w:val="ru-RU"/>
              </w:rPr>
              <w:t xml:space="preserve">Финансовое положение заемщика неудовлетворительное. Его финансовые обязательства </w:t>
            </w:r>
            <w:r w:rsidRPr="00031E53">
              <w:rPr>
                <w:lang w:val="ru-RU"/>
              </w:rPr>
              <w:t>считаются обязательствами очень низкого</w:t>
            </w:r>
            <w:r>
              <w:rPr>
                <w:lang w:val="ru-RU"/>
              </w:rPr>
              <w:t xml:space="preserve"> </w:t>
            </w:r>
            <w:r w:rsidRPr="00031E53">
              <w:rPr>
                <w:lang w:val="ru-RU"/>
              </w:rPr>
              <w:t>качества и подвержены очень высокому кредитному риску.</w:t>
            </w:r>
          </w:p>
        </w:tc>
      </w:tr>
      <w:tr w:rsidR="0001540F" w:rsidRPr="00B232CC" w:rsidTr="00B13265">
        <w:trPr>
          <w:trHeight w:val="823"/>
        </w:trPr>
        <w:tc>
          <w:tcPr>
            <w:tcW w:w="722" w:type="dxa"/>
            <w:vMerge/>
            <w:tcBorders>
              <w:top w:val="nil"/>
              <w:left w:val="single" w:sz="4" w:space="0" w:color="auto"/>
              <w:bottom w:val="nil"/>
              <w:right w:val="single" w:sz="4" w:space="0" w:color="auto"/>
            </w:tcBorders>
          </w:tcPr>
          <w:p w:rsidR="0001540F" w:rsidRPr="003F640B" w:rsidRDefault="0001540F" w:rsidP="001A1C0D">
            <w:pPr>
              <w:rPr>
                <w:b/>
                <w:color w:val="FF0000"/>
                <w:lang w:val="ru-RU"/>
              </w:rPr>
            </w:pPr>
          </w:p>
        </w:tc>
        <w:tc>
          <w:tcPr>
            <w:tcW w:w="838" w:type="dxa"/>
            <w:tcBorders>
              <w:left w:val="single" w:sz="4" w:space="0" w:color="auto"/>
            </w:tcBorders>
          </w:tcPr>
          <w:p w:rsidR="0001540F" w:rsidRPr="00254496" w:rsidRDefault="0001540F" w:rsidP="001A1C0D">
            <w:pPr>
              <w:rPr>
                <w:b/>
                <w:lang w:val="ru-RU"/>
              </w:rPr>
            </w:pPr>
            <w:proofErr w:type="spellStart"/>
            <w:r w:rsidRPr="00AD0857">
              <w:rPr>
                <w:b/>
                <w:color w:val="FF0000"/>
                <w:lang w:val="en-US"/>
              </w:rPr>
              <w:t>Ca</w:t>
            </w:r>
            <w:proofErr w:type="spellEnd"/>
          </w:p>
        </w:tc>
        <w:tc>
          <w:tcPr>
            <w:tcW w:w="8079" w:type="dxa"/>
            <w:vAlign w:val="center"/>
          </w:tcPr>
          <w:p w:rsidR="0001540F" w:rsidRPr="00031E53" w:rsidRDefault="0001540F" w:rsidP="00BA4B87">
            <w:pPr>
              <w:rPr>
                <w:lang w:val="ru-RU"/>
              </w:rPr>
            </w:pPr>
            <w:r>
              <w:rPr>
                <w:lang w:val="ru-RU"/>
              </w:rPr>
              <w:t>Финансовое положение заемщика плохое. Вероятность наступления дефолта очень высокая.</w:t>
            </w:r>
          </w:p>
        </w:tc>
      </w:tr>
      <w:tr w:rsidR="0001540F" w:rsidRPr="00B232CC" w:rsidTr="00B13265">
        <w:trPr>
          <w:trHeight w:val="528"/>
        </w:trPr>
        <w:tc>
          <w:tcPr>
            <w:tcW w:w="722" w:type="dxa"/>
            <w:tcBorders>
              <w:top w:val="nil"/>
            </w:tcBorders>
          </w:tcPr>
          <w:p w:rsidR="0001540F" w:rsidRPr="003F640B" w:rsidRDefault="0001540F" w:rsidP="00D2268F">
            <w:pPr>
              <w:rPr>
                <w:b/>
                <w:color w:val="FF0000"/>
                <w:lang w:val="ru-RU"/>
              </w:rPr>
            </w:pPr>
          </w:p>
        </w:tc>
        <w:tc>
          <w:tcPr>
            <w:tcW w:w="838" w:type="dxa"/>
          </w:tcPr>
          <w:p w:rsidR="0001540F" w:rsidRPr="00AD0857" w:rsidRDefault="0001540F" w:rsidP="00D2268F">
            <w:pPr>
              <w:rPr>
                <w:b/>
                <w:lang w:val="en-US"/>
              </w:rPr>
            </w:pPr>
            <w:r w:rsidRPr="00AD0857">
              <w:rPr>
                <w:b/>
                <w:color w:val="FF0000"/>
                <w:lang w:val="en-US"/>
              </w:rPr>
              <w:t>C</w:t>
            </w:r>
          </w:p>
        </w:tc>
        <w:tc>
          <w:tcPr>
            <w:tcW w:w="8079" w:type="dxa"/>
            <w:vAlign w:val="center"/>
          </w:tcPr>
          <w:p w:rsidR="0001540F" w:rsidRPr="00905401" w:rsidRDefault="0001540F" w:rsidP="00BA4B87">
            <w:pPr>
              <w:rPr>
                <w:lang w:val="ru-RU"/>
              </w:rPr>
            </w:pPr>
            <w:r>
              <w:rPr>
                <w:lang w:val="ru-RU"/>
              </w:rPr>
              <w:t>Заемщик допустил полный или частичный дефолт.</w:t>
            </w:r>
          </w:p>
          <w:p w:rsidR="0001540F" w:rsidRDefault="0001540F" w:rsidP="00BA4B87">
            <w:pPr>
              <w:rPr>
                <w:lang w:val="ru-RU"/>
              </w:rPr>
            </w:pPr>
            <w:r>
              <w:rPr>
                <w:lang w:val="ru-RU"/>
              </w:rPr>
              <w:t xml:space="preserve">Согласно методике </w:t>
            </w:r>
            <w:r>
              <w:rPr>
                <w:lang w:val="en-US"/>
              </w:rPr>
              <w:t>Moody</w:t>
            </w:r>
            <w:r w:rsidRPr="00A917AA">
              <w:rPr>
                <w:lang w:val="ru-RU"/>
              </w:rPr>
              <w:t>’</w:t>
            </w:r>
            <w:r>
              <w:rPr>
                <w:lang w:val="en-US"/>
              </w:rPr>
              <w:t>s</w:t>
            </w:r>
            <w:r w:rsidRPr="00A917AA">
              <w:rPr>
                <w:lang w:val="ru-RU"/>
              </w:rPr>
              <w:t xml:space="preserve"> </w:t>
            </w:r>
            <w:r>
              <w:rPr>
                <w:lang w:val="ru-RU"/>
              </w:rPr>
              <w:t>дефолт наступает при следующих обстоятельствах:</w:t>
            </w:r>
          </w:p>
          <w:p w:rsidR="0001540F" w:rsidRPr="00361653" w:rsidRDefault="0001540F" w:rsidP="00BA4B87">
            <w:pPr>
              <w:rPr>
                <w:lang w:val="ru-RU"/>
              </w:rPr>
            </w:pPr>
            <w:r>
              <w:rPr>
                <w:lang w:val="ru-RU"/>
              </w:rPr>
              <w:t xml:space="preserve">- невыплата или задержка выплат по основному долгу и/или процентам (за исключением </w:t>
            </w:r>
            <w:proofErr w:type="gramStart"/>
            <w:r>
              <w:rPr>
                <w:lang w:val="ru-RU"/>
              </w:rPr>
              <w:t>невыплат</w:t>
            </w:r>
            <w:proofErr w:type="gramEnd"/>
            <w:r>
              <w:rPr>
                <w:lang w:val="ru-RU"/>
              </w:rPr>
              <w:t xml:space="preserve"> в рамках  установленного договором льготного периода </w:t>
            </w:r>
            <w:r w:rsidRPr="00B84990">
              <w:rPr>
                <w:lang w:val="ru-RU"/>
              </w:rPr>
              <w:t>(</w:t>
            </w:r>
            <w:r>
              <w:rPr>
                <w:lang w:val="en-US"/>
              </w:rPr>
              <w:t>grace</w:t>
            </w:r>
            <w:r w:rsidRPr="00B84990">
              <w:rPr>
                <w:lang w:val="ru-RU"/>
              </w:rPr>
              <w:t xml:space="preserve"> </w:t>
            </w:r>
            <w:r>
              <w:rPr>
                <w:lang w:val="en-US"/>
              </w:rPr>
              <w:t>period</w:t>
            </w:r>
            <w:r w:rsidRPr="00B84990">
              <w:rPr>
                <w:lang w:val="ru-RU"/>
              </w:rPr>
              <w:t>)</w:t>
            </w:r>
            <w:r>
              <w:rPr>
                <w:lang w:val="ru-RU"/>
              </w:rPr>
              <w:t>, а также технического дефолта)</w:t>
            </w:r>
            <w:r w:rsidRPr="00361653">
              <w:rPr>
                <w:lang w:val="ru-RU"/>
              </w:rPr>
              <w:t>;</w:t>
            </w:r>
          </w:p>
          <w:p w:rsidR="0001540F" w:rsidRDefault="0001540F" w:rsidP="00BA4B87">
            <w:pPr>
              <w:rPr>
                <w:lang w:val="ru-RU"/>
              </w:rPr>
            </w:pPr>
            <w:r w:rsidRPr="00361653">
              <w:rPr>
                <w:lang w:val="ru-RU"/>
              </w:rPr>
              <w:t xml:space="preserve">- </w:t>
            </w:r>
            <w:r>
              <w:rPr>
                <w:lang w:val="ru-RU"/>
              </w:rPr>
              <w:t>открытие дела о банкротстве;</w:t>
            </w:r>
          </w:p>
          <w:p w:rsidR="0001540F" w:rsidRDefault="0001540F" w:rsidP="00BA4B87">
            <w:pPr>
              <w:rPr>
                <w:lang w:val="ru-RU"/>
              </w:rPr>
            </w:pPr>
            <w:r>
              <w:rPr>
                <w:lang w:val="ru-RU"/>
              </w:rPr>
              <w:t xml:space="preserve">- вынужденный выкуп акций, обмен долговых обязательств, </w:t>
            </w:r>
            <w:r>
              <w:rPr>
                <w:lang w:val="ru-RU"/>
              </w:rPr>
              <w:lastRenderedPageBreak/>
              <w:t>рефинансирование долга, в результате чего либо объем долговых обязательств уменьшился, либо заемщик сумел  избежать предстоящего дефолта;</w:t>
            </w:r>
          </w:p>
          <w:p w:rsidR="0001540F" w:rsidRPr="00361653" w:rsidRDefault="0001540F" w:rsidP="00BA4B87">
            <w:pPr>
              <w:rPr>
                <w:lang w:val="ru-RU"/>
              </w:rPr>
            </w:pPr>
            <w:r>
              <w:rPr>
                <w:lang w:val="ru-RU"/>
              </w:rPr>
              <w:t>- реструктуризация долга посредством внесения изменений в кредитное соглашение.</w:t>
            </w:r>
          </w:p>
        </w:tc>
      </w:tr>
    </w:tbl>
    <w:p w:rsidR="0001540F" w:rsidRPr="00F4340B" w:rsidRDefault="0001540F" w:rsidP="001A1C0D">
      <w:pPr>
        <w:rPr>
          <w:lang w:val="ru-RU"/>
        </w:rPr>
      </w:pPr>
    </w:p>
    <w:p w:rsidR="0001540F" w:rsidRPr="00E04803" w:rsidRDefault="0001540F" w:rsidP="001A1C0D">
      <w:pPr>
        <w:rPr>
          <w:b/>
          <w:lang w:val="en-US"/>
        </w:rPr>
      </w:pPr>
      <w:r w:rsidRPr="00E04803">
        <w:rPr>
          <w:b/>
        </w:rPr>
        <w:t>Standard &amp; Poor's</w:t>
      </w:r>
    </w:p>
    <w:tbl>
      <w:tblPr>
        <w:tblW w:w="0" w:type="auto"/>
        <w:tblInd w:w="108"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851"/>
        <w:gridCol w:w="8079"/>
      </w:tblGrid>
      <w:tr w:rsidR="0001540F" w:rsidRPr="00B232CC" w:rsidTr="00B13265">
        <w:trPr>
          <w:trHeight w:val="272"/>
        </w:trPr>
        <w:tc>
          <w:tcPr>
            <w:tcW w:w="709" w:type="dxa"/>
            <w:vMerge w:val="restart"/>
            <w:textDirection w:val="btLr"/>
          </w:tcPr>
          <w:p w:rsidR="0001540F" w:rsidRPr="00C57846" w:rsidRDefault="0001540F" w:rsidP="00C57846">
            <w:pPr>
              <w:ind w:left="113" w:right="113"/>
              <w:jc w:val="center"/>
              <w:rPr>
                <w:b/>
                <w:color w:val="339933"/>
                <w:lang w:val="ru-RU"/>
              </w:rPr>
            </w:pPr>
            <w:r>
              <w:rPr>
                <w:b/>
                <w:color w:val="339933"/>
                <w:lang w:val="ru-RU"/>
              </w:rPr>
              <w:t>Инвестиционные рейтинги</w:t>
            </w:r>
          </w:p>
        </w:tc>
        <w:tc>
          <w:tcPr>
            <w:tcW w:w="851" w:type="dxa"/>
          </w:tcPr>
          <w:p w:rsidR="0001540F" w:rsidRPr="00AD0857" w:rsidRDefault="0001540F" w:rsidP="001A1C0D">
            <w:pPr>
              <w:rPr>
                <w:b/>
                <w:lang w:val="en-US"/>
              </w:rPr>
            </w:pPr>
            <w:r w:rsidRPr="00AD0857">
              <w:rPr>
                <w:b/>
                <w:color w:val="339933"/>
                <w:lang w:val="en-US"/>
              </w:rPr>
              <w:t>AAA</w:t>
            </w:r>
          </w:p>
        </w:tc>
        <w:tc>
          <w:tcPr>
            <w:tcW w:w="8079" w:type="dxa"/>
          </w:tcPr>
          <w:p w:rsidR="0001540F" w:rsidRPr="00AD0857" w:rsidRDefault="0001540F" w:rsidP="001A1C0D">
            <w:pPr>
              <w:rPr>
                <w:lang w:val="ru-RU"/>
              </w:rPr>
            </w:pPr>
            <w:r w:rsidRPr="00AD0857">
              <w:rPr>
                <w:lang w:val="ru-RU"/>
              </w:rPr>
              <w:t>Наивысшая кредитоспособность</w:t>
            </w:r>
          </w:p>
          <w:p w:rsidR="0001540F" w:rsidRPr="00AD0857" w:rsidRDefault="0001540F" w:rsidP="001A1C0D">
            <w:pPr>
              <w:rPr>
                <w:lang w:val="ru-RU"/>
              </w:rPr>
            </w:pPr>
            <w:r>
              <w:rPr>
                <w:lang w:val="ru-RU"/>
              </w:rPr>
              <w:t>Заемщик</w:t>
            </w:r>
            <w:r w:rsidRPr="00AD0857">
              <w:rPr>
                <w:lang w:val="ru-RU"/>
              </w:rPr>
              <w:t xml:space="preserve"> имеет исключительно высокую способность погашать финансовые обязательства своевременно и в полном объеме</w:t>
            </w:r>
            <w:r>
              <w:rPr>
                <w:lang w:val="ru-RU"/>
              </w:rPr>
              <w:t>.</w:t>
            </w:r>
          </w:p>
        </w:tc>
      </w:tr>
      <w:tr w:rsidR="0001540F" w:rsidRPr="00B232CC" w:rsidTr="00B13265">
        <w:trPr>
          <w:trHeight w:val="1162"/>
        </w:trPr>
        <w:tc>
          <w:tcPr>
            <w:tcW w:w="709" w:type="dxa"/>
            <w:vMerge/>
          </w:tcPr>
          <w:p w:rsidR="0001540F" w:rsidRDefault="0001540F" w:rsidP="001A1C0D">
            <w:pPr>
              <w:rPr>
                <w:b/>
                <w:color w:val="339933"/>
                <w:lang w:val="ru-RU"/>
              </w:rPr>
            </w:pPr>
          </w:p>
        </w:tc>
        <w:tc>
          <w:tcPr>
            <w:tcW w:w="851" w:type="dxa"/>
          </w:tcPr>
          <w:p w:rsidR="0001540F" w:rsidRPr="00BD25D1" w:rsidRDefault="0001540F" w:rsidP="001A1C0D">
            <w:pPr>
              <w:rPr>
                <w:b/>
                <w:color w:val="339933"/>
                <w:lang w:val="ru-RU"/>
              </w:rPr>
            </w:pPr>
            <w:r>
              <w:rPr>
                <w:b/>
                <w:color w:val="339933"/>
                <w:lang w:val="ru-RU"/>
              </w:rPr>
              <w:t>АА+</w:t>
            </w:r>
          </w:p>
          <w:p w:rsidR="0001540F" w:rsidRDefault="0001540F" w:rsidP="001A1C0D">
            <w:pPr>
              <w:rPr>
                <w:b/>
                <w:color w:val="339933"/>
                <w:lang w:val="ru-RU"/>
              </w:rPr>
            </w:pPr>
            <w:r w:rsidRPr="00AD0857">
              <w:rPr>
                <w:b/>
                <w:color w:val="339933"/>
                <w:lang w:val="en-US"/>
              </w:rPr>
              <w:t>AA</w:t>
            </w:r>
          </w:p>
          <w:p w:rsidR="0001540F" w:rsidRPr="004A428C" w:rsidRDefault="0001540F" w:rsidP="001A1C0D">
            <w:pPr>
              <w:rPr>
                <w:b/>
                <w:lang w:val="ru-RU"/>
              </w:rPr>
            </w:pPr>
            <w:r>
              <w:rPr>
                <w:b/>
                <w:color w:val="339933"/>
                <w:lang w:val="ru-RU"/>
              </w:rPr>
              <w:t>АА-</w:t>
            </w:r>
          </w:p>
        </w:tc>
        <w:tc>
          <w:tcPr>
            <w:tcW w:w="8079" w:type="dxa"/>
          </w:tcPr>
          <w:p w:rsidR="0001540F" w:rsidRPr="00AD0857" w:rsidRDefault="0001540F" w:rsidP="001A1C0D">
            <w:pPr>
              <w:rPr>
                <w:lang w:val="ru-RU"/>
              </w:rPr>
            </w:pPr>
            <w:r w:rsidRPr="00AD0857">
              <w:rPr>
                <w:lang w:val="ru-RU"/>
              </w:rPr>
              <w:t>О</w:t>
            </w:r>
            <w:r>
              <w:rPr>
                <w:lang w:val="ru-RU"/>
              </w:rPr>
              <w:t>чень высокая кредитоспособность</w:t>
            </w:r>
          </w:p>
          <w:p w:rsidR="0001540F" w:rsidRPr="00AD0857" w:rsidRDefault="0001540F" w:rsidP="001A1C0D">
            <w:pPr>
              <w:rPr>
                <w:lang w:val="ru-RU"/>
              </w:rPr>
            </w:pPr>
            <w:r>
              <w:rPr>
                <w:lang w:val="ru-RU"/>
              </w:rPr>
              <w:t>Способность заемщика</w:t>
            </w:r>
            <w:r w:rsidRPr="00AD0857">
              <w:rPr>
                <w:lang w:val="ru-RU"/>
              </w:rPr>
              <w:t xml:space="preserve"> выполнять финансовые обязательства очень высокая и лишь немног</w:t>
            </w:r>
            <w:r>
              <w:rPr>
                <w:lang w:val="ru-RU"/>
              </w:rPr>
              <w:t>о уступает способности заемщиков</w:t>
            </w:r>
            <w:r w:rsidRPr="00AD0857">
              <w:rPr>
                <w:lang w:val="ru-RU"/>
              </w:rPr>
              <w:t>, имеющих рейтинг «ААА»</w:t>
            </w:r>
            <w:r>
              <w:rPr>
                <w:lang w:val="ru-RU"/>
              </w:rPr>
              <w:t>.</w:t>
            </w:r>
          </w:p>
        </w:tc>
      </w:tr>
      <w:tr w:rsidR="0001540F" w:rsidRPr="00B232CC" w:rsidTr="00B13265">
        <w:trPr>
          <w:trHeight w:val="1477"/>
        </w:trPr>
        <w:tc>
          <w:tcPr>
            <w:tcW w:w="709" w:type="dxa"/>
            <w:vMerge/>
          </w:tcPr>
          <w:p w:rsidR="0001540F" w:rsidRDefault="0001540F" w:rsidP="001A1C0D">
            <w:pPr>
              <w:rPr>
                <w:b/>
                <w:color w:val="339933"/>
                <w:lang w:val="ru-RU"/>
              </w:rPr>
            </w:pPr>
          </w:p>
        </w:tc>
        <w:tc>
          <w:tcPr>
            <w:tcW w:w="851" w:type="dxa"/>
          </w:tcPr>
          <w:p w:rsidR="0001540F" w:rsidRDefault="0001540F" w:rsidP="001A1C0D">
            <w:pPr>
              <w:rPr>
                <w:b/>
                <w:color w:val="339933"/>
                <w:lang w:val="ru-RU"/>
              </w:rPr>
            </w:pPr>
            <w:r>
              <w:rPr>
                <w:b/>
                <w:color w:val="339933"/>
                <w:lang w:val="ru-RU"/>
              </w:rPr>
              <w:t>А+</w:t>
            </w:r>
          </w:p>
          <w:p w:rsidR="0001540F" w:rsidRDefault="0001540F" w:rsidP="001A1C0D">
            <w:pPr>
              <w:rPr>
                <w:b/>
                <w:color w:val="339933"/>
                <w:lang w:val="ru-RU"/>
              </w:rPr>
            </w:pPr>
            <w:r w:rsidRPr="00AD0857">
              <w:rPr>
                <w:b/>
                <w:color w:val="339933"/>
                <w:lang w:val="en-US"/>
              </w:rPr>
              <w:t>A</w:t>
            </w:r>
          </w:p>
          <w:p w:rsidR="0001540F" w:rsidRPr="004A428C" w:rsidRDefault="0001540F" w:rsidP="001A1C0D">
            <w:pPr>
              <w:rPr>
                <w:b/>
                <w:lang w:val="ru-RU"/>
              </w:rPr>
            </w:pPr>
            <w:r>
              <w:rPr>
                <w:b/>
                <w:color w:val="339933"/>
                <w:lang w:val="ru-RU"/>
              </w:rPr>
              <w:t>А-</w:t>
            </w:r>
          </w:p>
        </w:tc>
        <w:tc>
          <w:tcPr>
            <w:tcW w:w="8079" w:type="dxa"/>
          </w:tcPr>
          <w:p w:rsidR="0001540F" w:rsidRPr="00AD0857" w:rsidRDefault="0001540F" w:rsidP="001A1C0D">
            <w:pPr>
              <w:rPr>
                <w:lang w:val="ru-RU"/>
              </w:rPr>
            </w:pPr>
            <w:r w:rsidRPr="00AD0857">
              <w:rPr>
                <w:lang w:val="ru-RU"/>
              </w:rPr>
              <w:t>Высокая кредитоспособность</w:t>
            </w:r>
          </w:p>
          <w:p w:rsidR="0001540F" w:rsidRPr="00AD0857" w:rsidRDefault="0001540F" w:rsidP="000C4781">
            <w:pPr>
              <w:rPr>
                <w:lang w:val="ru-RU"/>
              </w:rPr>
            </w:pPr>
            <w:r>
              <w:rPr>
                <w:lang w:val="ru-RU"/>
              </w:rPr>
              <w:t>Способность заемщика</w:t>
            </w:r>
            <w:r w:rsidRPr="00AD0857">
              <w:rPr>
                <w:lang w:val="ru-RU"/>
              </w:rPr>
              <w:t xml:space="preserve"> выполнять свои финансовые обязательства высокая. Однако эта способность </w:t>
            </w:r>
            <w:r w:rsidRPr="00AD0857">
              <w:rPr>
                <w:u w:val="single"/>
                <w:lang w:val="ru-RU"/>
              </w:rPr>
              <w:t>в незначительной степени</w:t>
            </w:r>
            <w:r w:rsidRPr="00AD0857">
              <w:rPr>
                <w:lang w:val="ru-RU"/>
              </w:rPr>
              <w:t xml:space="preserve"> может быть подвержена воздействию неблагоприятных обстоятельств, в том числе, таких как ухудшение экономической конъюн</w:t>
            </w:r>
            <w:r>
              <w:rPr>
                <w:lang w:val="ru-RU"/>
              </w:rPr>
              <w:t>ктуры.</w:t>
            </w:r>
          </w:p>
        </w:tc>
      </w:tr>
      <w:tr w:rsidR="0001540F" w:rsidRPr="00B232CC" w:rsidTr="00B13265">
        <w:trPr>
          <w:trHeight w:val="243"/>
        </w:trPr>
        <w:tc>
          <w:tcPr>
            <w:tcW w:w="709" w:type="dxa"/>
            <w:vMerge/>
            <w:tcBorders>
              <w:bottom w:val="single" w:sz="4" w:space="0" w:color="auto"/>
            </w:tcBorders>
          </w:tcPr>
          <w:p w:rsidR="0001540F" w:rsidRPr="003F640B" w:rsidRDefault="0001540F" w:rsidP="001A1C0D">
            <w:pPr>
              <w:rPr>
                <w:b/>
                <w:color w:val="339933"/>
                <w:lang w:val="ru-RU"/>
              </w:rPr>
            </w:pPr>
          </w:p>
        </w:tc>
        <w:tc>
          <w:tcPr>
            <w:tcW w:w="851" w:type="dxa"/>
          </w:tcPr>
          <w:p w:rsidR="0001540F" w:rsidRPr="004A428C" w:rsidRDefault="0001540F" w:rsidP="001A1C0D">
            <w:pPr>
              <w:rPr>
                <w:b/>
                <w:color w:val="339933"/>
                <w:lang w:val="en-US"/>
              </w:rPr>
            </w:pPr>
            <w:r>
              <w:rPr>
                <w:b/>
                <w:color w:val="339933"/>
                <w:lang w:val="en-US"/>
              </w:rPr>
              <w:t>BBB+</w:t>
            </w:r>
          </w:p>
          <w:p w:rsidR="0001540F" w:rsidRDefault="0001540F" w:rsidP="001A1C0D">
            <w:pPr>
              <w:rPr>
                <w:b/>
                <w:color w:val="339933"/>
                <w:lang w:val="en-US"/>
              </w:rPr>
            </w:pPr>
            <w:r w:rsidRPr="00AD0857">
              <w:rPr>
                <w:b/>
                <w:color w:val="339933"/>
                <w:lang w:val="en-US"/>
              </w:rPr>
              <w:t xml:space="preserve">BBB </w:t>
            </w:r>
          </w:p>
          <w:p w:rsidR="0001540F" w:rsidRPr="00AD0857" w:rsidRDefault="0001540F" w:rsidP="001A1C0D">
            <w:pPr>
              <w:rPr>
                <w:b/>
                <w:lang w:val="en-US"/>
              </w:rPr>
            </w:pPr>
            <w:r>
              <w:rPr>
                <w:b/>
                <w:color w:val="339933"/>
                <w:lang w:val="en-US"/>
              </w:rPr>
              <w:t>BBB-</w:t>
            </w:r>
            <w:r w:rsidRPr="00AD0857">
              <w:rPr>
                <w:b/>
                <w:color w:val="339933"/>
                <w:lang w:val="en-US"/>
              </w:rPr>
              <w:tab/>
            </w:r>
          </w:p>
        </w:tc>
        <w:tc>
          <w:tcPr>
            <w:tcW w:w="8079" w:type="dxa"/>
          </w:tcPr>
          <w:p w:rsidR="0001540F" w:rsidRPr="00AD0857" w:rsidRDefault="0001540F" w:rsidP="001A1C0D">
            <w:pPr>
              <w:rPr>
                <w:lang w:val="ru-RU"/>
              </w:rPr>
            </w:pPr>
            <w:r w:rsidRPr="00AD0857">
              <w:rPr>
                <w:lang w:val="ru-RU"/>
              </w:rPr>
              <w:t>Хорошая кредитоспособность</w:t>
            </w:r>
          </w:p>
          <w:p w:rsidR="0001540F" w:rsidRPr="00E80CAF" w:rsidRDefault="0001540F" w:rsidP="004475C0">
            <w:pPr>
              <w:rPr>
                <w:lang w:val="ru-RU"/>
              </w:rPr>
            </w:pPr>
            <w:r>
              <w:rPr>
                <w:lang w:val="ru-RU"/>
              </w:rPr>
              <w:t xml:space="preserve">Заемщик </w:t>
            </w:r>
            <w:r w:rsidRPr="00AD0857">
              <w:rPr>
                <w:lang w:val="ru-RU"/>
              </w:rPr>
              <w:t>имеет достаточную способность погашать финансовые обязательства. Однако ухудшение экономической обстановки и другие негативные обст</w:t>
            </w:r>
            <w:r>
              <w:rPr>
                <w:lang w:val="ru-RU"/>
              </w:rPr>
              <w:t>оятельства способны ослабить эту</w:t>
            </w:r>
            <w:r w:rsidRPr="00AD0857">
              <w:rPr>
                <w:lang w:val="ru-RU"/>
              </w:rPr>
              <w:t xml:space="preserve"> способность </w:t>
            </w:r>
            <w:r>
              <w:rPr>
                <w:lang w:val="ru-RU"/>
              </w:rPr>
              <w:t xml:space="preserve">с </w:t>
            </w:r>
            <w:r w:rsidRPr="00E80CAF">
              <w:rPr>
                <w:lang w:val="ru-RU"/>
              </w:rPr>
              <w:t>большей веро</w:t>
            </w:r>
            <w:r>
              <w:rPr>
                <w:lang w:val="ru-RU"/>
              </w:rPr>
              <w:t>ятностью, чем в случае заемщиков</w:t>
            </w:r>
            <w:r w:rsidRPr="00E80CAF">
              <w:rPr>
                <w:lang w:val="ru-RU"/>
              </w:rPr>
              <w:t xml:space="preserve"> с более высокими рейтингами</w:t>
            </w:r>
            <w:r>
              <w:rPr>
                <w:lang w:val="ru-RU"/>
              </w:rPr>
              <w:t>.</w:t>
            </w:r>
          </w:p>
        </w:tc>
      </w:tr>
      <w:tr w:rsidR="00BF2126" w:rsidRPr="00B232CC" w:rsidTr="00B13265">
        <w:trPr>
          <w:trHeight w:val="234"/>
        </w:trPr>
        <w:tc>
          <w:tcPr>
            <w:tcW w:w="709" w:type="dxa"/>
            <w:vMerge w:val="restart"/>
            <w:tcBorders>
              <w:bottom w:val="single" w:sz="4" w:space="0" w:color="auto"/>
            </w:tcBorders>
            <w:textDirection w:val="btLr"/>
          </w:tcPr>
          <w:p w:rsidR="00BF2126" w:rsidRPr="003F640B" w:rsidRDefault="00BF2126" w:rsidP="00C57846">
            <w:pPr>
              <w:ind w:left="113" w:right="113"/>
              <w:jc w:val="center"/>
              <w:rPr>
                <w:b/>
                <w:color w:val="E36C0A"/>
                <w:lang w:val="ru-RU"/>
              </w:rPr>
            </w:pPr>
            <w:r>
              <w:rPr>
                <w:b/>
                <w:color w:val="E36C0A"/>
                <w:lang w:val="ru-RU"/>
              </w:rPr>
              <w:t>Спекулятивные рейтинги</w:t>
            </w:r>
          </w:p>
        </w:tc>
        <w:tc>
          <w:tcPr>
            <w:tcW w:w="851" w:type="dxa"/>
            <w:tcBorders>
              <w:bottom w:val="single" w:sz="4" w:space="0" w:color="auto"/>
            </w:tcBorders>
          </w:tcPr>
          <w:p w:rsidR="00BF2126" w:rsidRDefault="00BF2126" w:rsidP="001A1C0D">
            <w:pPr>
              <w:rPr>
                <w:b/>
                <w:color w:val="E36C0A"/>
                <w:lang w:val="en-US"/>
              </w:rPr>
            </w:pPr>
            <w:r w:rsidRPr="00AD0857">
              <w:rPr>
                <w:b/>
                <w:color w:val="E36C0A"/>
                <w:lang w:val="en-US"/>
              </w:rPr>
              <w:t>BB</w:t>
            </w:r>
            <w:r>
              <w:rPr>
                <w:b/>
                <w:color w:val="E36C0A"/>
                <w:lang w:val="en-US"/>
              </w:rPr>
              <w:t>+</w:t>
            </w:r>
          </w:p>
          <w:p w:rsidR="00BF2126" w:rsidRDefault="00BF2126" w:rsidP="001A1C0D">
            <w:pPr>
              <w:rPr>
                <w:b/>
                <w:color w:val="E36C0A"/>
                <w:lang w:val="en-US"/>
              </w:rPr>
            </w:pPr>
            <w:r>
              <w:rPr>
                <w:b/>
                <w:color w:val="E36C0A"/>
                <w:lang w:val="en-US"/>
              </w:rPr>
              <w:t>BB</w:t>
            </w:r>
          </w:p>
          <w:p w:rsidR="00BF2126" w:rsidRDefault="00BF2126" w:rsidP="001A1C0D">
            <w:pPr>
              <w:rPr>
                <w:b/>
                <w:color w:val="E36C0A"/>
                <w:lang w:val="en-US"/>
              </w:rPr>
            </w:pPr>
            <w:r>
              <w:rPr>
                <w:b/>
                <w:color w:val="E36C0A"/>
                <w:lang w:val="en-US"/>
              </w:rPr>
              <w:t>BB-</w:t>
            </w:r>
          </w:p>
          <w:p w:rsidR="00BF2126" w:rsidRPr="00AD0857" w:rsidRDefault="00BF2126" w:rsidP="001A1C0D">
            <w:pPr>
              <w:rPr>
                <w:b/>
                <w:lang w:val="en-US"/>
              </w:rPr>
            </w:pPr>
          </w:p>
        </w:tc>
        <w:tc>
          <w:tcPr>
            <w:tcW w:w="8079" w:type="dxa"/>
            <w:tcBorders>
              <w:bottom w:val="single" w:sz="4" w:space="0" w:color="auto"/>
            </w:tcBorders>
          </w:tcPr>
          <w:p w:rsidR="00BF2126" w:rsidRPr="00AD0857" w:rsidRDefault="00BF2126" w:rsidP="001A1C0D">
            <w:pPr>
              <w:rPr>
                <w:lang w:val="ru-RU"/>
              </w:rPr>
            </w:pPr>
            <w:r>
              <w:rPr>
                <w:lang w:val="ru-RU"/>
              </w:rPr>
              <w:t>Заемщик</w:t>
            </w:r>
            <w:r w:rsidRPr="00AD0857">
              <w:rPr>
                <w:lang w:val="ru-RU"/>
              </w:rPr>
              <w:t xml:space="preserve"> менее подвержен дефолту в кра</w:t>
            </w:r>
            <w:r>
              <w:rPr>
                <w:lang w:val="ru-RU"/>
              </w:rPr>
              <w:t>ткосрочном периоде, чем заемщики</w:t>
            </w:r>
            <w:r w:rsidRPr="00AD0857">
              <w:rPr>
                <w:lang w:val="ru-RU"/>
              </w:rPr>
              <w:t>, имеющие прочие спекулятивные рейтинги. В настоящее время он своевременно и в полном объеме выполняет финансовые обязательства в условиях неопределенности</w:t>
            </w:r>
            <w:r>
              <w:rPr>
                <w:lang w:val="ru-RU"/>
              </w:rPr>
              <w:t xml:space="preserve"> в экономической конъюнктуре. Однако</w:t>
            </w:r>
            <w:r w:rsidRPr="00AD0857">
              <w:rPr>
                <w:lang w:val="ru-RU"/>
              </w:rPr>
              <w:t xml:space="preserve"> ухудшение деловой, финансовой или экономической ситуации может привести к не</w:t>
            </w:r>
            <w:r>
              <w:rPr>
                <w:lang w:val="ru-RU"/>
              </w:rPr>
              <w:t>достаточной способности заемщика</w:t>
            </w:r>
            <w:r w:rsidRPr="00AD0857">
              <w:rPr>
                <w:lang w:val="ru-RU"/>
              </w:rPr>
              <w:t xml:space="preserve"> выполнять все свои финансовые обязательства.</w:t>
            </w:r>
          </w:p>
        </w:tc>
      </w:tr>
      <w:tr w:rsidR="00BF2126" w:rsidRPr="00B232CC" w:rsidTr="00B13265">
        <w:trPr>
          <w:trHeight w:val="243"/>
        </w:trPr>
        <w:tc>
          <w:tcPr>
            <w:tcW w:w="709" w:type="dxa"/>
            <w:vMerge/>
            <w:tcBorders>
              <w:top w:val="nil"/>
              <w:bottom w:val="single" w:sz="4" w:space="0" w:color="auto"/>
            </w:tcBorders>
            <w:textDirection w:val="btLr"/>
          </w:tcPr>
          <w:p w:rsidR="00BF2126" w:rsidRPr="00C57846" w:rsidRDefault="00BF2126" w:rsidP="00C57846">
            <w:pPr>
              <w:ind w:left="113" w:right="113"/>
              <w:jc w:val="center"/>
              <w:rPr>
                <w:b/>
                <w:color w:val="E36C0A"/>
                <w:lang w:val="ru-RU"/>
              </w:rPr>
            </w:pPr>
          </w:p>
        </w:tc>
        <w:tc>
          <w:tcPr>
            <w:tcW w:w="851" w:type="dxa"/>
            <w:tcBorders>
              <w:bottom w:val="single" w:sz="4" w:space="0" w:color="auto"/>
            </w:tcBorders>
          </w:tcPr>
          <w:p w:rsidR="00BF2126" w:rsidRDefault="00BF2126" w:rsidP="001A1C0D">
            <w:pPr>
              <w:rPr>
                <w:b/>
                <w:color w:val="E36C0A"/>
                <w:lang w:val="en-US"/>
              </w:rPr>
            </w:pPr>
            <w:r w:rsidRPr="00AD0857">
              <w:rPr>
                <w:b/>
                <w:color w:val="E36C0A"/>
                <w:lang w:val="en-US"/>
              </w:rPr>
              <w:t>B</w:t>
            </w:r>
            <w:r>
              <w:rPr>
                <w:b/>
                <w:color w:val="E36C0A"/>
                <w:lang w:val="en-US"/>
              </w:rPr>
              <w:t>+</w:t>
            </w:r>
          </w:p>
          <w:p w:rsidR="00BF2126" w:rsidRDefault="00BF2126" w:rsidP="001A1C0D">
            <w:pPr>
              <w:rPr>
                <w:b/>
                <w:color w:val="E36C0A"/>
                <w:lang w:val="en-US"/>
              </w:rPr>
            </w:pPr>
            <w:r>
              <w:rPr>
                <w:b/>
                <w:color w:val="E36C0A"/>
                <w:lang w:val="en-US"/>
              </w:rPr>
              <w:t>B</w:t>
            </w:r>
          </w:p>
          <w:p w:rsidR="00BF2126" w:rsidRPr="003B1FE5" w:rsidRDefault="00BF2126" w:rsidP="001A1C0D">
            <w:pPr>
              <w:rPr>
                <w:b/>
                <w:color w:val="E36C0A"/>
                <w:lang w:val="ru-RU"/>
              </w:rPr>
            </w:pPr>
            <w:r>
              <w:rPr>
                <w:b/>
                <w:color w:val="E36C0A"/>
                <w:lang w:val="en-US"/>
              </w:rPr>
              <w:t>B-</w:t>
            </w:r>
          </w:p>
        </w:tc>
        <w:tc>
          <w:tcPr>
            <w:tcW w:w="8079" w:type="dxa"/>
            <w:tcBorders>
              <w:bottom w:val="single" w:sz="4" w:space="0" w:color="auto"/>
            </w:tcBorders>
          </w:tcPr>
          <w:p w:rsidR="00BF2126" w:rsidRPr="00AD0857" w:rsidRDefault="00BF2126" w:rsidP="001A1C0D">
            <w:pPr>
              <w:rPr>
                <w:lang w:val="ru-RU"/>
              </w:rPr>
            </w:pPr>
            <w:r w:rsidRPr="00AD0857">
              <w:rPr>
                <w:lang w:val="ru-RU"/>
              </w:rPr>
              <w:t>В</w:t>
            </w:r>
            <w:r>
              <w:rPr>
                <w:lang w:val="ru-RU"/>
              </w:rPr>
              <w:t xml:space="preserve"> настоящее время заемщик</w:t>
            </w:r>
            <w:r w:rsidRPr="00AD0857">
              <w:rPr>
                <w:lang w:val="ru-RU"/>
              </w:rPr>
              <w:t xml:space="preserve"> выполняет свои обязательства своевременно и в полном объеме, но неблагоприятные изменения в деловой, финансовой или экономической </w:t>
            </w:r>
            <w:proofErr w:type="gramStart"/>
            <w:r w:rsidRPr="00AD0857">
              <w:rPr>
                <w:lang w:val="ru-RU"/>
              </w:rPr>
              <w:t>конъюнктуре</w:t>
            </w:r>
            <w:proofErr w:type="gramEnd"/>
            <w:r w:rsidRPr="00AD0857">
              <w:rPr>
                <w:lang w:val="ru-RU"/>
              </w:rPr>
              <w:t xml:space="preserve"> </w:t>
            </w:r>
            <w:r w:rsidRPr="00AD0857">
              <w:rPr>
                <w:u w:val="single"/>
                <w:lang w:val="ru-RU"/>
              </w:rPr>
              <w:t>скорее всего</w:t>
            </w:r>
            <w:r w:rsidRPr="00AD0857">
              <w:rPr>
                <w:lang w:val="ru-RU"/>
              </w:rPr>
              <w:t xml:space="preserve"> приведут к снижению</w:t>
            </w:r>
            <w:r>
              <w:rPr>
                <w:lang w:val="ru-RU"/>
              </w:rPr>
              <w:t xml:space="preserve"> его</w:t>
            </w:r>
            <w:r w:rsidRPr="00AD0857">
              <w:rPr>
                <w:lang w:val="ru-RU"/>
              </w:rPr>
              <w:t xml:space="preserve"> с</w:t>
            </w:r>
            <w:r>
              <w:rPr>
                <w:lang w:val="ru-RU"/>
              </w:rPr>
              <w:t>пособности и готовности</w:t>
            </w:r>
            <w:r w:rsidRPr="00AD0857">
              <w:rPr>
                <w:lang w:val="ru-RU"/>
              </w:rPr>
              <w:t xml:space="preserve"> погашать финансовые обязательства.</w:t>
            </w:r>
          </w:p>
        </w:tc>
      </w:tr>
      <w:tr w:rsidR="00BF2126" w:rsidRPr="00B232CC" w:rsidTr="00B13265">
        <w:trPr>
          <w:trHeight w:val="243"/>
        </w:trPr>
        <w:tc>
          <w:tcPr>
            <w:tcW w:w="709" w:type="dxa"/>
            <w:vMerge/>
            <w:tcBorders>
              <w:top w:val="nil"/>
              <w:bottom w:val="single" w:sz="4" w:space="0" w:color="auto"/>
            </w:tcBorders>
          </w:tcPr>
          <w:p w:rsidR="00BF2126" w:rsidRPr="003F640B" w:rsidRDefault="00BF2126" w:rsidP="001A1C0D">
            <w:pPr>
              <w:rPr>
                <w:b/>
                <w:color w:val="FF0000"/>
                <w:lang w:val="ru-RU"/>
              </w:rPr>
            </w:pPr>
          </w:p>
        </w:tc>
        <w:tc>
          <w:tcPr>
            <w:tcW w:w="851" w:type="dxa"/>
            <w:tcBorders>
              <w:top w:val="single" w:sz="4" w:space="0" w:color="auto"/>
            </w:tcBorders>
          </w:tcPr>
          <w:p w:rsidR="00BF2126" w:rsidRDefault="00BF2126" w:rsidP="001A1C0D">
            <w:pPr>
              <w:rPr>
                <w:b/>
                <w:color w:val="FF0000"/>
                <w:lang w:val="en-US"/>
              </w:rPr>
            </w:pPr>
            <w:r w:rsidRPr="00AD0857">
              <w:rPr>
                <w:b/>
                <w:color w:val="FF0000"/>
                <w:lang w:val="en-US"/>
              </w:rPr>
              <w:t>CCC</w:t>
            </w:r>
            <w:r>
              <w:rPr>
                <w:b/>
                <w:color w:val="FF0000"/>
                <w:lang w:val="en-US"/>
              </w:rPr>
              <w:t>+</w:t>
            </w:r>
          </w:p>
          <w:p w:rsidR="00BF2126" w:rsidRDefault="00BF2126" w:rsidP="001A1C0D">
            <w:pPr>
              <w:rPr>
                <w:b/>
                <w:color w:val="FF0000"/>
                <w:lang w:val="en-US"/>
              </w:rPr>
            </w:pPr>
            <w:r>
              <w:rPr>
                <w:b/>
                <w:color w:val="FF0000"/>
                <w:lang w:val="en-US"/>
              </w:rPr>
              <w:t>CCC</w:t>
            </w:r>
          </w:p>
          <w:p w:rsidR="00BF2126" w:rsidRPr="00AD0857" w:rsidRDefault="00BF2126" w:rsidP="001A1C0D">
            <w:pPr>
              <w:rPr>
                <w:b/>
                <w:color w:val="FF0000"/>
                <w:lang w:val="en-US"/>
              </w:rPr>
            </w:pPr>
            <w:r>
              <w:rPr>
                <w:b/>
                <w:color w:val="FF0000"/>
                <w:lang w:val="en-US"/>
              </w:rPr>
              <w:t>CCC-</w:t>
            </w:r>
            <w:r w:rsidRPr="00AD0857">
              <w:rPr>
                <w:b/>
                <w:color w:val="FF0000"/>
                <w:lang w:val="en-US"/>
              </w:rPr>
              <w:t xml:space="preserve"> </w:t>
            </w:r>
            <w:r w:rsidRPr="00AD0857">
              <w:rPr>
                <w:b/>
                <w:lang w:val="en-US"/>
              </w:rPr>
              <w:tab/>
            </w:r>
          </w:p>
        </w:tc>
        <w:tc>
          <w:tcPr>
            <w:tcW w:w="8079" w:type="dxa"/>
            <w:tcBorders>
              <w:top w:val="single" w:sz="4" w:space="0" w:color="auto"/>
            </w:tcBorders>
          </w:tcPr>
          <w:p w:rsidR="00BF2126" w:rsidRPr="00AD0857" w:rsidRDefault="00BF2126" w:rsidP="00AD0771">
            <w:pPr>
              <w:rPr>
                <w:lang w:val="ru-RU"/>
              </w:rPr>
            </w:pPr>
            <w:r w:rsidRPr="00AD0857">
              <w:rPr>
                <w:lang w:val="ru-RU"/>
              </w:rPr>
              <w:t>На текущий момент существует вероятност</w:t>
            </w:r>
            <w:r>
              <w:rPr>
                <w:lang w:val="ru-RU"/>
              </w:rPr>
              <w:t xml:space="preserve">ь </w:t>
            </w:r>
            <w:proofErr w:type="gramStart"/>
            <w:r>
              <w:rPr>
                <w:lang w:val="ru-RU"/>
              </w:rPr>
              <w:t>дефолта</w:t>
            </w:r>
            <w:proofErr w:type="gramEnd"/>
            <w:r>
              <w:rPr>
                <w:lang w:val="ru-RU"/>
              </w:rPr>
              <w:t xml:space="preserve"> и способность заемщика</w:t>
            </w:r>
            <w:r w:rsidRPr="00AD0857">
              <w:rPr>
                <w:lang w:val="ru-RU"/>
              </w:rPr>
              <w:t xml:space="preserve"> выполнять финансовые обязательства зависит от благоприятной деловой, финансовой, экономической конъюнктуры. В случае небл</w:t>
            </w:r>
            <w:r>
              <w:rPr>
                <w:lang w:val="ru-RU"/>
              </w:rPr>
              <w:t>агоприятной де</w:t>
            </w:r>
            <w:bookmarkStart w:id="0" w:name="_GoBack"/>
            <w:bookmarkEnd w:id="0"/>
            <w:r>
              <w:rPr>
                <w:lang w:val="ru-RU"/>
              </w:rPr>
              <w:t>ловой, финансовой,</w:t>
            </w:r>
            <w:r w:rsidRPr="00AD0857">
              <w:rPr>
                <w:lang w:val="ru-RU"/>
              </w:rPr>
              <w:t xml:space="preserve"> экономичес</w:t>
            </w:r>
            <w:r>
              <w:rPr>
                <w:lang w:val="ru-RU"/>
              </w:rPr>
              <w:t xml:space="preserve">кой конъюнктуры </w:t>
            </w:r>
            <w:proofErr w:type="gramStart"/>
            <w:r>
              <w:rPr>
                <w:lang w:val="ru-RU"/>
              </w:rPr>
              <w:t>заемщик</w:t>
            </w:r>
            <w:proofErr w:type="gramEnd"/>
            <w:r w:rsidRPr="00AD0857">
              <w:rPr>
                <w:lang w:val="ru-RU"/>
              </w:rPr>
              <w:t xml:space="preserve"> </w:t>
            </w:r>
            <w:r w:rsidRPr="00273289">
              <w:rPr>
                <w:u w:val="single"/>
                <w:lang w:val="ru-RU"/>
              </w:rPr>
              <w:t>скорее всего</w:t>
            </w:r>
            <w:r w:rsidRPr="00AD0857">
              <w:rPr>
                <w:lang w:val="ru-RU"/>
              </w:rPr>
              <w:t xml:space="preserve"> будет неспособен отвечать по своим финансовым обязательствам. </w:t>
            </w:r>
          </w:p>
        </w:tc>
      </w:tr>
      <w:tr w:rsidR="00BF2126" w:rsidRPr="00B232CC" w:rsidTr="00B13265">
        <w:trPr>
          <w:trHeight w:val="262"/>
        </w:trPr>
        <w:tc>
          <w:tcPr>
            <w:tcW w:w="709" w:type="dxa"/>
            <w:vMerge/>
            <w:tcBorders>
              <w:top w:val="nil"/>
              <w:bottom w:val="single" w:sz="4" w:space="0" w:color="auto"/>
            </w:tcBorders>
          </w:tcPr>
          <w:p w:rsidR="00BF2126" w:rsidRPr="003F640B" w:rsidRDefault="00BF2126" w:rsidP="001A1C0D">
            <w:pPr>
              <w:rPr>
                <w:b/>
                <w:color w:val="FF0000"/>
                <w:lang w:val="ru-RU"/>
              </w:rPr>
            </w:pPr>
          </w:p>
        </w:tc>
        <w:tc>
          <w:tcPr>
            <w:tcW w:w="851" w:type="dxa"/>
          </w:tcPr>
          <w:p w:rsidR="00BF2126" w:rsidRPr="00AD0857" w:rsidRDefault="00BF2126" w:rsidP="001A1C0D">
            <w:pPr>
              <w:rPr>
                <w:b/>
                <w:lang w:val="en-US"/>
              </w:rPr>
            </w:pPr>
            <w:r w:rsidRPr="00AD0857">
              <w:rPr>
                <w:b/>
                <w:color w:val="FF0000"/>
                <w:lang w:val="en-US"/>
              </w:rPr>
              <w:t>CC</w:t>
            </w:r>
          </w:p>
        </w:tc>
        <w:tc>
          <w:tcPr>
            <w:tcW w:w="8079" w:type="dxa"/>
          </w:tcPr>
          <w:p w:rsidR="00BF2126" w:rsidRPr="00AD0857" w:rsidRDefault="00BF2126" w:rsidP="001A1C0D">
            <w:pPr>
              <w:rPr>
                <w:lang w:val="ru-RU"/>
              </w:rPr>
            </w:pPr>
            <w:r w:rsidRPr="00AD0857">
              <w:rPr>
                <w:lang w:val="ru-RU"/>
              </w:rPr>
              <w:t>В настоящее время существует высо</w:t>
            </w:r>
            <w:r>
              <w:rPr>
                <w:lang w:val="ru-RU"/>
              </w:rPr>
              <w:t>кая вероятность дефолта</w:t>
            </w:r>
            <w:r w:rsidRPr="00AD0857">
              <w:rPr>
                <w:lang w:val="ru-RU"/>
              </w:rPr>
              <w:t>. Рейтинг присваивается, когда дефолт еще не наступил, н</w:t>
            </w:r>
            <w:r>
              <w:rPr>
                <w:lang w:val="ru-RU"/>
              </w:rPr>
              <w:t xml:space="preserve">о </w:t>
            </w:r>
            <w:r>
              <w:rPr>
                <w:lang w:val="en-US"/>
              </w:rPr>
              <w:t>S</w:t>
            </w:r>
            <w:r w:rsidRPr="00CE6532">
              <w:rPr>
                <w:lang w:val="ru-RU"/>
              </w:rPr>
              <w:t>&amp;</w:t>
            </w:r>
            <w:r>
              <w:rPr>
                <w:lang w:val="en-US"/>
              </w:rPr>
              <w:t>P</w:t>
            </w:r>
            <w:r w:rsidRPr="00CE6532">
              <w:rPr>
                <w:lang w:val="ru-RU"/>
              </w:rPr>
              <w:t xml:space="preserve"> </w:t>
            </w:r>
            <w:r>
              <w:rPr>
                <w:lang w:val="ru-RU"/>
              </w:rPr>
              <w:t xml:space="preserve">считает </w:t>
            </w:r>
            <w:r w:rsidRPr="00AD0857">
              <w:rPr>
                <w:lang w:val="ru-RU"/>
              </w:rPr>
              <w:t>дефолт</w:t>
            </w:r>
            <w:r>
              <w:rPr>
                <w:lang w:val="ru-RU"/>
              </w:rPr>
              <w:t xml:space="preserve"> </w:t>
            </w:r>
            <w:r>
              <w:rPr>
                <w:lang w:val="ru-RU"/>
              </w:rPr>
              <w:lastRenderedPageBreak/>
              <w:t>неизбежным</w:t>
            </w:r>
            <w:r w:rsidRPr="00AD0857">
              <w:rPr>
                <w:lang w:val="ru-RU"/>
              </w:rPr>
              <w:t xml:space="preserve">, независимо от того, как скоро он наступит. </w:t>
            </w:r>
          </w:p>
        </w:tc>
      </w:tr>
      <w:tr w:rsidR="00BF2126" w:rsidRPr="00B232CC" w:rsidTr="00B13265">
        <w:trPr>
          <w:trHeight w:val="243"/>
        </w:trPr>
        <w:tc>
          <w:tcPr>
            <w:tcW w:w="709" w:type="dxa"/>
            <w:vMerge/>
            <w:tcBorders>
              <w:top w:val="nil"/>
              <w:bottom w:val="single" w:sz="4" w:space="0" w:color="auto"/>
            </w:tcBorders>
          </w:tcPr>
          <w:p w:rsidR="00BF2126" w:rsidRPr="003F640B" w:rsidRDefault="00BF2126" w:rsidP="001A1C0D">
            <w:pPr>
              <w:rPr>
                <w:b/>
                <w:color w:val="FF0000"/>
                <w:lang w:val="ru-RU"/>
              </w:rPr>
            </w:pPr>
          </w:p>
        </w:tc>
        <w:tc>
          <w:tcPr>
            <w:tcW w:w="851" w:type="dxa"/>
          </w:tcPr>
          <w:p w:rsidR="00BF2126" w:rsidRPr="00AD0857" w:rsidRDefault="00BF2126" w:rsidP="001A1C0D">
            <w:pPr>
              <w:rPr>
                <w:b/>
                <w:lang w:val="en-US"/>
              </w:rPr>
            </w:pPr>
            <w:r w:rsidRPr="00AD0857">
              <w:rPr>
                <w:b/>
                <w:color w:val="FF0000"/>
                <w:lang w:val="en-US"/>
              </w:rPr>
              <w:t>R</w:t>
            </w:r>
          </w:p>
        </w:tc>
        <w:tc>
          <w:tcPr>
            <w:tcW w:w="8079" w:type="dxa"/>
          </w:tcPr>
          <w:p w:rsidR="00BF2126" w:rsidRPr="00AD0857" w:rsidRDefault="00BF2126" w:rsidP="00AA4007">
            <w:pPr>
              <w:rPr>
                <w:lang w:val="ru-RU"/>
              </w:rPr>
            </w:pPr>
            <w:r w:rsidRPr="00AD0857">
              <w:rPr>
                <w:lang w:val="ru-RU"/>
              </w:rPr>
              <w:t>Вследствие своего</w:t>
            </w:r>
            <w:r>
              <w:rPr>
                <w:lang w:val="ru-RU"/>
              </w:rPr>
              <w:t xml:space="preserve"> плохого финансового положения заемщик</w:t>
            </w:r>
            <w:r w:rsidRPr="00AD0857">
              <w:rPr>
                <w:lang w:val="ru-RU"/>
              </w:rPr>
              <w:t xml:space="preserve"> находится под  управлением регулирующего органа (например, введена временная администрация). </w:t>
            </w:r>
            <w:r>
              <w:rPr>
                <w:lang w:val="ru-RU"/>
              </w:rPr>
              <w:t xml:space="preserve">В </w:t>
            </w:r>
            <w:r w:rsidRPr="00E02782">
              <w:rPr>
                <w:lang w:val="ru-RU"/>
              </w:rPr>
              <w:t>пер</w:t>
            </w:r>
            <w:r>
              <w:rPr>
                <w:lang w:val="ru-RU"/>
              </w:rPr>
              <w:t>иод осуществления надзора орган</w:t>
            </w:r>
            <w:r w:rsidRPr="00E02782">
              <w:rPr>
                <w:lang w:val="ru-RU"/>
              </w:rPr>
              <w:t xml:space="preserve"> государственного регулирования</w:t>
            </w:r>
            <w:r>
              <w:rPr>
                <w:lang w:val="ru-RU"/>
              </w:rPr>
              <w:t xml:space="preserve"> </w:t>
            </w:r>
            <w:r w:rsidRPr="00AD0857">
              <w:rPr>
                <w:lang w:val="ru-RU"/>
              </w:rPr>
              <w:t>имеет право выставить очередность выплат по одним обязательствам в ущерб иным обязательствам организации.</w:t>
            </w:r>
          </w:p>
        </w:tc>
      </w:tr>
      <w:tr w:rsidR="00BF2126" w:rsidRPr="00B232CC" w:rsidTr="00B13265">
        <w:trPr>
          <w:trHeight w:val="206"/>
        </w:trPr>
        <w:tc>
          <w:tcPr>
            <w:tcW w:w="709" w:type="dxa"/>
            <w:vMerge/>
            <w:tcBorders>
              <w:top w:val="nil"/>
              <w:bottom w:val="single" w:sz="4" w:space="0" w:color="auto"/>
            </w:tcBorders>
          </w:tcPr>
          <w:p w:rsidR="00BF2126" w:rsidRPr="003F640B" w:rsidRDefault="00BF2126" w:rsidP="001A1C0D">
            <w:pPr>
              <w:rPr>
                <w:b/>
                <w:color w:val="FF0000"/>
                <w:lang w:val="ru-RU"/>
              </w:rPr>
            </w:pPr>
          </w:p>
        </w:tc>
        <w:tc>
          <w:tcPr>
            <w:tcW w:w="851" w:type="dxa"/>
            <w:tcBorders>
              <w:bottom w:val="single" w:sz="4" w:space="0" w:color="auto"/>
            </w:tcBorders>
          </w:tcPr>
          <w:p w:rsidR="00BF2126" w:rsidRPr="00AD0857" w:rsidRDefault="00BF2126" w:rsidP="001A1C0D">
            <w:pPr>
              <w:rPr>
                <w:b/>
                <w:color w:val="FF0000"/>
                <w:lang w:val="en-US"/>
              </w:rPr>
            </w:pPr>
            <w:r w:rsidRPr="00AD0857">
              <w:rPr>
                <w:b/>
                <w:color w:val="FF0000"/>
                <w:lang w:val="en-US"/>
              </w:rPr>
              <w:t>SD</w:t>
            </w:r>
          </w:p>
        </w:tc>
        <w:tc>
          <w:tcPr>
            <w:tcW w:w="8079" w:type="dxa"/>
            <w:tcBorders>
              <w:bottom w:val="single" w:sz="4" w:space="0" w:color="auto"/>
            </w:tcBorders>
          </w:tcPr>
          <w:p w:rsidR="00BF2126" w:rsidRPr="00031E53" w:rsidRDefault="00BF2126" w:rsidP="001A1C0D">
            <w:pPr>
              <w:rPr>
                <w:lang w:val="ru-RU"/>
              </w:rPr>
            </w:pPr>
            <w:r w:rsidRPr="00AD0857">
              <w:rPr>
                <w:lang w:val="ru-RU"/>
              </w:rPr>
              <w:t xml:space="preserve">Частичный (выборочный дефолт). </w:t>
            </w:r>
          </w:p>
          <w:p w:rsidR="00BF2126" w:rsidRPr="00AD0857" w:rsidRDefault="00BF2126" w:rsidP="002B3506">
            <w:pPr>
              <w:rPr>
                <w:lang w:val="ru-RU"/>
              </w:rPr>
            </w:pPr>
            <w:r w:rsidRPr="00AD0857">
              <w:rPr>
                <w:lang w:val="ru-RU"/>
              </w:rPr>
              <w:t>Рейт</w:t>
            </w:r>
            <w:r>
              <w:rPr>
                <w:lang w:val="ru-RU"/>
              </w:rPr>
              <w:t>инг присваивается, когда заемщик</w:t>
            </w:r>
            <w:r w:rsidRPr="00AD0857">
              <w:rPr>
                <w:lang w:val="ru-RU"/>
              </w:rPr>
              <w:t xml:space="preserve"> допустил дефолт по определенному выпуску или типу обязательств, и при этом</w:t>
            </w:r>
            <w:r w:rsidRPr="00031E53">
              <w:rPr>
                <w:lang w:val="ru-RU"/>
              </w:rPr>
              <w:t xml:space="preserve"> </w:t>
            </w:r>
            <w:r w:rsidRPr="00AD0857">
              <w:rPr>
                <w:lang w:val="en-US"/>
              </w:rPr>
              <w:t>S</w:t>
            </w:r>
            <w:r w:rsidRPr="00031E53">
              <w:rPr>
                <w:lang w:val="ru-RU"/>
              </w:rPr>
              <w:t>&amp;</w:t>
            </w:r>
            <w:r w:rsidRPr="00AD0857">
              <w:rPr>
                <w:lang w:val="en-US"/>
              </w:rPr>
              <w:t>P</w:t>
            </w:r>
            <w:r>
              <w:rPr>
                <w:lang w:val="ru-RU"/>
              </w:rPr>
              <w:t xml:space="preserve"> ожидает, что он</w:t>
            </w:r>
            <w:r w:rsidRPr="00AD0857">
              <w:rPr>
                <w:lang w:val="ru-RU"/>
              </w:rPr>
              <w:t xml:space="preserve"> будет продолжать своевременно</w:t>
            </w:r>
            <w:r>
              <w:rPr>
                <w:lang w:val="ru-RU"/>
              </w:rPr>
              <w:t xml:space="preserve"> и в полном объеме</w:t>
            </w:r>
            <w:r w:rsidRPr="00AD0857">
              <w:rPr>
                <w:lang w:val="ru-RU"/>
              </w:rPr>
              <w:t xml:space="preserve"> погашать прочие финансовые обязательства. </w:t>
            </w:r>
          </w:p>
          <w:p w:rsidR="00BF2126" w:rsidRDefault="00BF2126" w:rsidP="002B3506">
            <w:pPr>
              <w:rPr>
                <w:lang w:val="ru-RU"/>
              </w:rPr>
            </w:pPr>
            <w:proofErr w:type="gramStart"/>
            <w:r w:rsidRPr="00AD0857">
              <w:rPr>
                <w:lang w:val="ru-RU"/>
              </w:rPr>
              <w:t xml:space="preserve">Согласно методике </w:t>
            </w:r>
            <w:r w:rsidRPr="00AD0857">
              <w:rPr>
                <w:lang w:val="en-US"/>
              </w:rPr>
              <w:t>S</w:t>
            </w:r>
            <w:r w:rsidRPr="00031E53">
              <w:rPr>
                <w:lang w:val="ru-RU"/>
              </w:rPr>
              <w:t>&amp;</w:t>
            </w:r>
            <w:r w:rsidRPr="00AD0857">
              <w:rPr>
                <w:lang w:val="en-US"/>
              </w:rPr>
              <w:t>P</w:t>
            </w:r>
            <w:r w:rsidRPr="00031E53">
              <w:rPr>
                <w:lang w:val="ru-RU"/>
              </w:rPr>
              <w:t xml:space="preserve"> </w:t>
            </w:r>
            <w:r>
              <w:rPr>
                <w:lang w:val="ru-RU"/>
              </w:rPr>
              <w:t>дефолт наступает, когда заемщик не в состоянии погасить в установленный срок свои финансовые обязательства</w:t>
            </w:r>
            <w:r w:rsidRPr="00AD0857">
              <w:rPr>
                <w:lang w:val="ru-RU"/>
              </w:rPr>
              <w:t xml:space="preserve">, </w:t>
            </w:r>
            <w:r>
              <w:rPr>
                <w:lang w:val="ru-RU"/>
              </w:rPr>
              <w:t>з</w:t>
            </w:r>
            <w:r w:rsidRPr="00AD0857">
              <w:rPr>
                <w:lang w:val="ru-RU"/>
              </w:rPr>
              <w:t>а искл</w:t>
            </w:r>
            <w:r>
              <w:rPr>
                <w:lang w:val="ru-RU"/>
              </w:rPr>
              <w:t xml:space="preserve">ючением случаев, когда </w:t>
            </w:r>
            <w:r>
              <w:rPr>
                <w:lang w:val="en-US"/>
              </w:rPr>
              <w:t>S</w:t>
            </w:r>
            <w:r w:rsidRPr="00C61122">
              <w:rPr>
                <w:lang w:val="ru-RU"/>
              </w:rPr>
              <w:t>&amp;</w:t>
            </w:r>
            <w:r>
              <w:rPr>
                <w:lang w:val="en-US"/>
              </w:rPr>
              <w:t>P</w:t>
            </w:r>
            <w:r w:rsidRPr="00AD0857">
              <w:rPr>
                <w:lang w:val="ru-RU"/>
              </w:rPr>
              <w:t xml:space="preserve"> считает, что неисполненные обязательства будут погашены в течение</w:t>
            </w:r>
            <w:r w:rsidRPr="00C61122">
              <w:rPr>
                <w:lang w:val="ru-RU"/>
              </w:rPr>
              <w:t xml:space="preserve"> </w:t>
            </w:r>
            <w:r>
              <w:rPr>
                <w:lang w:val="ru-RU"/>
              </w:rPr>
              <w:t>ближайших</w:t>
            </w:r>
            <w:r w:rsidRPr="00AD0857">
              <w:rPr>
                <w:lang w:val="ru-RU"/>
              </w:rPr>
              <w:t xml:space="preserve"> пяти</w:t>
            </w:r>
            <w:r>
              <w:rPr>
                <w:lang w:val="ru-RU"/>
              </w:rPr>
              <w:t xml:space="preserve"> рабочих</w:t>
            </w:r>
            <w:r w:rsidRPr="00AD0857">
              <w:rPr>
                <w:lang w:val="ru-RU"/>
              </w:rPr>
              <w:t xml:space="preserve"> дней с момента возникновения просроченной задолженности при отсутствии льготного периода (</w:t>
            </w:r>
            <w:r w:rsidRPr="00AD0857">
              <w:rPr>
                <w:lang w:val="en-US"/>
              </w:rPr>
              <w:t>grace</w:t>
            </w:r>
            <w:r w:rsidRPr="00031E53">
              <w:rPr>
                <w:lang w:val="ru-RU"/>
              </w:rPr>
              <w:t xml:space="preserve"> </w:t>
            </w:r>
            <w:r w:rsidRPr="00AD0857">
              <w:rPr>
                <w:lang w:val="en-US"/>
              </w:rPr>
              <w:t>period</w:t>
            </w:r>
            <w:r w:rsidRPr="00AD0857">
              <w:rPr>
                <w:lang w:val="ru-RU"/>
              </w:rPr>
              <w:t>)</w:t>
            </w:r>
            <w:r w:rsidRPr="00031E53">
              <w:rPr>
                <w:lang w:val="ru-RU"/>
              </w:rPr>
              <w:t xml:space="preserve"> </w:t>
            </w:r>
            <w:r w:rsidRPr="00AD0857">
              <w:rPr>
                <w:lang w:val="ru-RU"/>
              </w:rPr>
              <w:t>или по окончании льготного периода, но не позднее 30 календарных дней.</w:t>
            </w:r>
            <w:proofErr w:type="gramEnd"/>
          </w:p>
          <w:p w:rsidR="00BF2126" w:rsidRPr="00AD0857" w:rsidRDefault="00BF2126" w:rsidP="002B3506">
            <w:pPr>
              <w:rPr>
                <w:lang w:val="ru-RU"/>
              </w:rPr>
            </w:pPr>
            <w:r w:rsidRPr="00DC586F">
              <w:rPr>
                <w:lang w:val="ru-RU"/>
              </w:rPr>
              <w:t>Рейтинг</w:t>
            </w:r>
            <w:r>
              <w:rPr>
                <w:lang w:val="ru-RU"/>
              </w:rPr>
              <w:t xml:space="preserve"> также</w:t>
            </w:r>
            <w:r w:rsidRPr="00DC586F">
              <w:rPr>
                <w:lang w:val="ru-RU"/>
              </w:rPr>
              <w:t xml:space="preserve"> понижается до «</w:t>
            </w:r>
            <w:r>
              <w:rPr>
                <w:lang w:val="en-US"/>
              </w:rPr>
              <w:t>S</w:t>
            </w:r>
            <w:r>
              <w:t>D</w:t>
            </w:r>
            <w:r w:rsidRPr="00DC586F">
              <w:rPr>
                <w:lang w:val="ru-RU"/>
              </w:rPr>
              <w:t>» после завершения вынужденного выкупа акций (обмена долговых обязательств)</w:t>
            </w:r>
            <w:r>
              <w:rPr>
                <w:lang w:val="ru-RU"/>
              </w:rPr>
              <w:t>, позволившего избежать предстоящего частичного дефолта.</w:t>
            </w:r>
          </w:p>
        </w:tc>
      </w:tr>
      <w:tr w:rsidR="00BF2126" w:rsidRPr="00B232CC" w:rsidTr="00B13265">
        <w:trPr>
          <w:trHeight w:val="243"/>
        </w:trPr>
        <w:tc>
          <w:tcPr>
            <w:tcW w:w="709" w:type="dxa"/>
            <w:vMerge/>
            <w:tcBorders>
              <w:top w:val="nil"/>
              <w:bottom w:val="single" w:sz="4" w:space="0" w:color="auto"/>
            </w:tcBorders>
          </w:tcPr>
          <w:p w:rsidR="00BF2126" w:rsidRPr="003F640B" w:rsidRDefault="00BF2126" w:rsidP="001A1C0D">
            <w:pPr>
              <w:rPr>
                <w:b/>
                <w:color w:val="FF0000"/>
                <w:lang w:val="ru-RU"/>
              </w:rPr>
            </w:pPr>
          </w:p>
        </w:tc>
        <w:tc>
          <w:tcPr>
            <w:tcW w:w="851" w:type="dxa"/>
            <w:tcBorders>
              <w:bottom w:val="single" w:sz="4" w:space="0" w:color="auto"/>
            </w:tcBorders>
          </w:tcPr>
          <w:p w:rsidR="00BF2126" w:rsidRPr="00EE7855" w:rsidRDefault="00BF2126" w:rsidP="001A1C0D">
            <w:pPr>
              <w:rPr>
                <w:b/>
                <w:color w:val="FF0000"/>
                <w:lang w:val="en-US"/>
              </w:rPr>
            </w:pPr>
            <w:r w:rsidRPr="00EE7855">
              <w:rPr>
                <w:b/>
                <w:color w:val="FF0000"/>
                <w:lang w:val="en-US"/>
              </w:rPr>
              <w:t>D</w:t>
            </w:r>
          </w:p>
        </w:tc>
        <w:tc>
          <w:tcPr>
            <w:tcW w:w="8079" w:type="dxa"/>
            <w:tcBorders>
              <w:bottom w:val="single" w:sz="4" w:space="0" w:color="auto"/>
            </w:tcBorders>
          </w:tcPr>
          <w:p w:rsidR="00BF2126" w:rsidRPr="006F259E" w:rsidRDefault="00BF2126" w:rsidP="001A1C0D">
            <w:pPr>
              <w:rPr>
                <w:lang w:val="ru-RU"/>
              </w:rPr>
            </w:pPr>
            <w:r>
              <w:rPr>
                <w:lang w:val="ru-RU"/>
              </w:rPr>
              <w:t>Дефолт</w:t>
            </w:r>
          </w:p>
          <w:p w:rsidR="00BF2126" w:rsidRPr="003E0FC0" w:rsidRDefault="00BF2126" w:rsidP="001A1C0D">
            <w:pPr>
              <w:rPr>
                <w:lang w:val="ru-RU"/>
              </w:rPr>
            </w:pPr>
            <w:r>
              <w:rPr>
                <w:lang w:val="ru-RU"/>
              </w:rPr>
              <w:t xml:space="preserve">Рейтинг </w:t>
            </w:r>
            <w:r w:rsidRPr="00237054">
              <w:rPr>
                <w:lang w:val="ru-RU"/>
              </w:rPr>
              <w:t>присваивается</w:t>
            </w:r>
            <w:r>
              <w:rPr>
                <w:lang w:val="ru-RU"/>
              </w:rPr>
              <w:t>,</w:t>
            </w:r>
            <w:r w:rsidRPr="00237054">
              <w:rPr>
                <w:lang w:val="ru-RU"/>
              </w:rPr>
              <w:t xml:space="preserve"> </w:t>
            </w:r>
            <w:r>
              <w:rPr>
                <w:lang w:val="ru-RU"/>
              </w:rPr>
              <w:t>когда наступает полный дефолт, то есть заемщик оказывается неспособен</w:t>
            </w:r>
            <w:r w:rsidRPr="00237054">
              <w:rPr>
                <w:lang w:val="ru-RU"/>
              </w:rPr>
              <w:t xml:space="preserve"> в у</w:t>
            </w:r>
            <w:r>
              <w:rPr>
                <w:lang w:val="ru-RU"/>
              </w:rPr>
              <w:t>становленные сроки исполнить любое или почти любое свое обязательство</w:t>
            </w:r>
            <w:r w:rsidRPr="00237054">
              <w:rPr>
                <w:lang w:val="ru-RU"/>
              </w:rPr>
              <w:t>.</w:t>
            </w:r>
            <w:r>
              <w:rPr>
                <w:lang w:val="ru-RU"/>
              </w:rPr>
              <w:t xml:space="preserve"> </w:t>
            </w:r>
          </w:p>
          <w:p w:rsidR="00BF2126" w:rsidRDefault="00BF2126" w:rsidP="001A1C0D">
            <w:pPr>
              <w:rPr>
                <w:lang w:val="ru-RU"/>
              </w:rPr>
            </w:pPr>
            <w:proofErr w:type="gramStart"/>
            <w:r w:rsidRPr="00AD0857">
              <w:rPr>
                <w:lang w:val="ru-RU"/>
              </w:rPr>
              <w:t xml:space="preserve">Согласно методике </w:t>
            </w:r>
            <w:r w:rsidRPr="00AD0857">
              <w:rPr>
                <w:lang w:val="en-US"/>
              </w:rPr>
              <w:t>S</w:t>
            </w:r>
            <w:r w:rsidRPr="00031E53">
              <w:rPr>
                <w:lang w:val="ru-RU"/>
              </w:rPr>
              <w:t>&amp;</w:t>
            </w:r>
            <w:r w:rsidRPr="00AD0857">
              <w:rPr>
                <w:lang w:val="en-US"/>
              </w:rPr>
              <w:t>P</w:t>
            </w:r>
            <w:r w:rsidRPr="00031E53">
              <w:rPr>
                <w:lang w:val="ru-RU"/>
              </w:rPr>
              <w:t xml:space="preserve"> </w:t>
            </w:r>
            <w:r>
              <w:rPr>
                <w:lang w:val="ru-RU"/>
              </w:rPr>
              <w:t>дефолт наступает, когда заемщик не в состоянии погасить в установленный срок свои финансовые обязательства</w:t>
            </w:r>
            <w:r w:rsidRPr="00AD0857">
              <w:rPr>
                <w:lang w:val="ru-RU"/>
              </w:rPr>
              <w:t xml:space="preserve">, </w:t>
            </w:r>
            <w:r>
              <w:rPr>
                <w:lang w:val="ru-RU"/>
              </w:rPr>
              <w:t>з</w:t>
            </w:r>
            <w:r w:rsidRPr="00AD0857">
              <w:rPr>
                <w:lang w:val="ru-RU"/>
              </w:rPr>
              <w:t>а искл</w:t>
            </w:r>
            <w:r>
              <w:rPr>
                <w:lang w:val="ru-RU"/>
              </w:rPr>
              <w:t xml:space="preserve">ючением случаев, когда </w:t>
            </w:r>
            <w:r>
              <w:rPr>
                <w:lang w:val="en-US"/>
              </w:rPr>
              <w:t>S</w:t>
            </w:r>
            <w:r w:rsidRPr="00C61122">
              <w:rPr>
                <w:lang w:val="ru-RU"/>
              </w:rPr>
              <w:t>&amp;</w:t>
            </w:r>
            <w:r>
              <w:rPr>
                <w:lang w:val="en-US"/>
              </w:rPr>
              <w:t>P</w:t>
            </w:r>
            <w:r w:rsidRPr="00AD0857">
              <w:rPr>
                <w:lang w:val="ru-RU"/>
              </w:rPr>
              <w:t xml:space="preserve"> считает, что неисполненные обязательства будут погашены в течение</w:t>
            </w:r>
            <w:r w:rsidRPr="00C61122">
              <w:rPr>
                <w:lang w:val="ru-RU"/>
              </w:rPr>
              <w:t xml:space="preserve"> </w:t>
            </w:r>
            <w:r>
              <w:rPr>
                <w:lang w:val="ru-RU"/>
              </w:rPr>
              <w:t>ближайших</w:t>
            </w:r>
            <w:r w:rsidRPr="00AD0857">
              <w:rPr>
                <w:lang w:val="ru-RU"/>
              </w:rPr>
              <w:t xml:space="preserve"> пяти</w:t>
            </w:r>
            <w:r>
              <w:rPr>
                <w:lang w:val="ru-RU"/>
              </w:rPr>
              <w:t xml:space="preserve"> рабочих</w:t>
            </w:r>
            <w:r w:rsidRPr="00AD0857">
              <w:rPr>
                <w:lang w:val="ru-RU"/>
              </w:rPr>
              <w:t xml:space="preserve"> дней с момента возникновения просроченной задолженности при отсутствии льготного периода (</w:t>
            </w:r>
            <w:r w:rsidRPr="00AD0857">
              <w:rPr>
                <w:lang w:val="en-US"/>
              </w:rPr>
              <w:t>grace</w:t>
            </w:r>
            <w:r w:rsidRPr="00031E53">
              <w:rPr>
                <w:lang w:val="ru-RU"/>
              </w:rPr>
              <w:t xml:space="preserve"> </w:t>
            </w:r>
            <w:r w:rsidRPr="00AD0857">
              <w:rPr>
                <w:lang w:val="en-US"/>
              </w:rPr>
              <w:t>period</w:t>
            </w:r>
            <w:r w:rsidRPr="00AD0857">
              <w:rPr>
                <w:lang w:val="ru-RU"/>
              </w:rPr>
              <w:t>)</w:t>
            </w:r>
            <w:r w:rsidRPr="00031E53">
              <w:rPr>
                <w:lang w:val="ru-RU"/>
              </w:rPr>
              <w:t xml:space="preserve"> </w:t>
            </w:r>
            <w:r w:rsidRPr="00AD0857">
              <w:rPr>
                <w:lang w:val="ru-RU"/>
              </w:rPr>
              <w:t>или по окончании льготного периода, но не позднее 30 календарных дней.</w:t>
            </w:r>
            <w:proofErr w:type="gramEnd"/>
          </w:p>
          <w:p w:rsidR="00BF2126" w:rsidRPr="00DC586F" w:rsidRDefault="00BF2126" w:rsidP="001A1C0D">
            <w:pPr>
              <w:rPr>
                <w:lang w:val="ru-RU"/>
              </w:rPr>
            </w:pPr>
            <w:r w:rsidRPr="00DC586F">
              <w:rPr>
                <w:lang w:val="ru-RU"/>
              </w:rPr>
              <w:t>Рейтинг</w:t>
            </w:r>
            <w:r>
              <w:rPr>
                <w:lang w:val="ru-RU"/>
              </w:rPr>
              <w:t xml:space="preserve"> также</w:t>
            </w:r>
            <w:r w:rsidRPr="00DC586F">
              <w:rPr>
                <w:lang w:val="ru-RU"/>
              </w:rPr>
              <w:t xml:space="preserve"> понижается до «</w:t>
            </w:r>
            <w:r>
              <w:t>D</w:t>
            </w:r>
            <w:r w:rsidRPr="00DC586F">
              <w:rPr>
                <w:lang w:val="ru-RU"/>
              </w:rPr>
              <w:t>» после завершения вынужденного выкупа акций (обмена долговых обязательств)</w:t>
            </w:r>
            <w:r>
              <w:rPr>
                <w:lang w:val="ru-RU"/>
              </w:rPr>
              <w:t>, позволившего избежать предстоящего дефолта.</w:t>
            </w:r>
          </w:p>
        </w:tc>
      </w:tr>
    </w:tbl>
    <w:p w:rsidR="0001540F" w:rsidRPr="00DC586F" w:rsidRDefault="0001540F" w:rsidP="004345BA">
      <w:pPr>
        <w:rPr>
          <w:lang w:val="ru-RU"/>
        </w:rPr>
      </w:pPr>
    </w:p>
    <w:sectPr w:rsidR="0001540F" w:rsidRPr="00DC586F" w:rsidSect="00CB5A88">
      <w:footerReference w:type="default" r:id="rId7"/>
      <w:headerReference w:type="first" r:id="rId8"/>
      <w:pgSz w:w="12240" w:h="15840" w:code="1"/>
      <w:pgMar w:top="1134" w:right="851" w:bottom="567" w:left="1701" w:header="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46C5" w:rsidRDefault="00C846C5" w:rsidP="003B1FE5">
      <w:pPr>
        <w:spacing w:before="0" w:after="0"/>
      </w:pPr>
      <w:r>
        <w:separator/>
      </w:r>
    </w:p>
  </w:endnote>
  <w:endnote w:type="continuationSeparator" w:id="0">
    <w:p w:rsidR="00C846C5" w:rsidRDefault="00C846C5" w:rsidP="003B1FE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0036" w:rsidRPr="00CA0036" w:rsidRDefault="00CA0036">
    <w:pPr>
      <w:pStyle w:val="af6"/>
      <w:jc w:val="right"/>
      <w:rPr>
        <w:sz w:val="16"/>
        <w:szCs w:val="16"/>
      </w:rPr>
    </w:pPr>
    <w:r w:rsidRPr="00CA0036">
      <w:rPr>
        <w:sz w:val="16"/>
        <w:szCs w:val="16"/>
      </w:rPr>
      <w:fldChar w:fldCharType="begin"/>
    </w:r>
    <w:r w:rsidRPr="00CA0036">
      <w:rPr>
        <w:sz w:val="16"/>
        <w:szCs w:val="16"/>
      </w:rPr>
      <w:instrText>PAGE   \* MERGEFORMAT</w:instrText>
    </w:r>
    <w:r w:rsidRPr="00CA0036">
      <w:rPr>
        <w:sz w:val="16"/>
        <w:szCs w:val="16"/>
      </w:rPr>
      <w:fldChar w:fldCharType="separate"/>
    </w:r>
    <w:r w:rsidR="00CB5A88" w:rsidRPr="00CB5A88">
      <w:rPr>
        <w:noProof/>
        <w:sz w:val="16"/>
        <w:szCs w:val="16"/>
        <w:lang w:val="ru-RU"/>
      </w:rPr>
      <w:t>2</w:t>
    </w:r>
    <w:r w:rsidRPr="00CA0036">
      <w:rPr>
        <w:sz w:val="16"/>
        <w:szCs w:val="16"/>
      </w:rPr>
      <w:fldChar w:fldCharType="end"/>
    </w:r>
  </w:p>
  <w:p w:rsidR="003B1FE5" w:rsidRPr="0071315D" w:rsidRDefault="003B1FE5" w:rsidP="0071315D">
    <w:pPr>
      <w:pStyle w:val="af6"/>
      <w:jc w:val="right"/>
      <w:rPr>
        <w:sz w:val="18"/>
        <w:szCs w:val="18"/>
        <w:lang w:val="ru-RU"/>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46C5" w:rsidRDefault="00C846C5" w:rsidP="003B1FE5">
      <w:pPr>
        <w:spacing w:before="0" w:after="0"/>
      </w:pPr>
      <w:r>
        <w:separator/>
      </w:r>
    </w:p>
  </w:footnote>
  <w:footnote w:type="continuationSeparator" w:id="0">
    <w:p w:rsidR="00C846C5" w:rsidRDefault="00C846C5" w:rsidP="003B1FE5">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A88" w:rsidRPr="00CB5A88" w:rsidRDefault="00CB5A88">
    <w:pPr>
      <w:pStyle w:val="af4"/>
    </w:pPr>
  </w:p>
  <w:p w:rsidR="00CB5A88" w:rsidRPr="00CB5A88" w:rsidRDefault="00CB5A88">
    <w:pPr>
      <w:pStyle w:val="af4"/>
      <w:rPr>
        <w:i/>
        <w:sz w:val="16"/>
        <w:szCs w:val="16"/>
        <w:lang w:val="en-US" w:eastAsia="zh-CN"/>
      </w:rPr>
    </w:pPr>
    <w:r w:rsidRPr="00CB5A88">
      <w:rPr>
        <w:i/>
        <w:sz w:val="16"/>
        <w:szCs w:val="16"/>
        <w:lang w:val="ru-RU"/>
      </w:rPr>
      <w:t>ИА «</w:t>
    </w:r>
    <w:r w:rsidRPr="00CB5A88">
      <w:rPr>
        <w:i/>
        <w:sz w:val="16"/>
        <w:szCs w:val="16"/>
        <w:lang w:val="ru-RU" w:eastAsia="zh-CN"/>
      </w:rPr>
      <w:t>Риск-мониторинг</w:t>
    </w:r>
    <w:r w:rsidRPr="00CB5A88">
      <w:rPr>
        <w:i/>
        <w:sz w:val="16"/>
        <w:szCs w:val="16"/>
        <w:lang w:val="ru-RU"/>
      </w:rPr>
      <w:t xml:space="preserve">»: </w:t>
    </w:r>
    <w:r w:rsidRPr="00CB5A88">
      <w:rPr>
        <w:i/>
        <w:sz w:val="16"/>
        <w:szCs w:val="16"/>
      </w:rPr>
      <w:t>risk-monitoring</w:t>
    </w:r>
    <w:r>
      <w:rPr>
        <w:i/>
        <w:sz w:val="16"/>
        <w:szCs w:val="16"/>
        <w:lang w:val="en-US" w:eastAsia="zh-CN"/>
      </w:rPr>
      <w:t>.</w:t>
    </w:r>
    <w:proofErr w:type="spellStart"/>
    <w:r>
      <w:rPr>
        <w:i/>
        <w:sz w:val="16"/>
        <w:szCs w:val="16"/>
        <w:lang w:val="en-US" w:eastAsia="zh-CN"/>
      </w:rPr>
      <w:t>ru</w:t>
    </w:r>
    <w:proofErr w:type="spellEnd"/>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oNotTrackMoves/>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E63B7"/>
    <w:rsid w:val="00000162"/>
    <w:rsid w:val="00013625"/>
    <w:rsid w:val="0001540F"/>
    <w:rsid w:val="00031E53"/>
    <w:rsid w:val="00036104"/>
    <w:rsid w:val="00065799"/>
    <w:rsid w:val="0007101F"/>
    <w:rsid w:val="000724B2"/>
    <w:rsid w:val="000776D8"/>
    <w:rsid w:val="0008495D"/>
    <w:rsid w:val="0009019C"/>
    <w:rsid w:val="000B50B6"/>
    <w:rsid w:val="000C4781"/>
    <w:rsid w:val="000F0B16"/>
    <w:rsid w:val="000F2F71"/>
    <w:rsid w:val="00123360"/>
    <w:rsid w:val="001446E8"/>
    <w:rsid w:val="00144CF7"/>
    <w:rsid w:val="0016131A"/>
    <w:rsid w:val="0017263E"/>
    <w:rsid w:val="00174CF5"/>
    <w:rsid w:val="001921C2"/>
    <w:rsid w:val="001A1C0D"/>
    <w:rsid w:val="001A7DDA"/>
    <w:rsid w:val="001B2CBF"/>
    <w:rsid w:val="001B55AF"/>
    <w:rsid w:val="001C3356"/>
    <w:rsid w:val="00210993"/>
    <w:rsid w:val="002219FF"/>
    <w:rsid w:val="002259D6"/>
    <w:rsid w:val="0022763F"/>
    <w:rsid w:val="0023273C"/>
    <w:rsid w:val="00237054"/>
    <w:rsid w:val="00254496"/>
    <w:rsid w:val="0026064B"/>
    <w:rsid w:val="00273289"/>
    <w:rsid w:val="00290891"/>
    <w:rsid w:val="002A7282"/>
    <w:rsid w:val="002B3506"/>
    <w:rsid w:val="002B78C9"/>
    <w:rsid w:val="002C79FA"/>
    <w:rsid w:val="002D357D"/>
    <w:rsid w:val="003055A5"/>
    <w:rsid w:val="00313DBE"/>
    <w:rsid w:val="00337D72"/>
    <w:rsid w:val="00346A6E"/>
    <w:rsid w:val="00361653"/>
    <w:rsid w:val="0038011F"/>
    <w:rsid w:val="00391EE9"/>
    <w:rsid w:val="003B1FE5"/>
    <w:rsid w:val="003D1946"/>
    <w:rsid w:val="003D250B"/>
    <w:rsid w:val="003E0FC0"/>
    <w:rsid w:val="003F640B"/>
    <w:rsid w:val="00407986"/>
    <w:rsid w:val="00407D1A"/>
    <w:rsid w:val="0042239B"/>
    <w:rsid w:val="004345BA"/>
    <w:rsid w:val="00437099"/>
    <w:rsid w:val="004475C0"/>
    <w:rsid w:val="00470B84"/>
    <w:rsid w:val="00487B52"/>
    <w:rsid w:val="004A04A2"/>
    <w:rsid w:val="004A428C"/>
    <w:rsid w:val="004B3BA9"/>
    <w:rsid w:val="004C03C1"/>
    <w:rsid w:val="00507941"/>
    <w:rsid w:val="0052065F"/>
    <w:rsid w:val="00532959"/>
    <w:rsid w:val="00545023"/>
    <w:rsid w:val="0055015B"/>
    <w:rsid w:val="00556787"/>
    <w:rsid w:val="00583572"/>
    <w:rsid w:val="005877CC"/>
    <w:rsid w:val="005C4077"/>
    <w:rsid w:val="005E1138"/>
    <w:rsid w:val="005F659B"/>
    <w:rsid w:val="00621038"/>
    <w:rsid w:val="006838F0"/>
    <w:rsid w:val="006B3D76"/>
    <w:rsid w:val="006C684D"/>
    <w:rsid w:val="006D4409"/>
    <w:rsid w:val="006F259E"/>
    <w:rsid w:val="0071315D"/>
    <w:rsid w:val="00756054"/>
    <w:rsid w:val="00770763"/>
    <w:rsid w:val="007743DA"/>
    <w:rsid w:val="007843D9"/>
    <w:rsid w:val="007C3506"/>
    <w:rsid w:val="007D2838"/>
    <w:rsid w:val="007E07EB"/>
    <w:rsid w:val="00800206"/>
    <w:rsid w:val="00800F4B"/>
    <w:rsid w:val="0083202D"/>
    <w:rsid w:val="008535AF"/>
    <w:rsid w:val="008612C3"/>
    <w:rsid w:val="00893DBA"/>
    <w:rsid w:val="008D6FB2"/>
    <w:rsid w:val="00905401"/>
    <w:rsid w:val="00907699"/>
    <w:rsid w:val="00920B59"/>
    <w:rsid w:val="00941D4A"/>
    <w:rsid w:val="00946211"/>
    <w:rsid w:val="00965D75"/>
    <w:rsid w:val="00967CA3"/>
    <w:rsid w:val="009A41B7"/>
    <w:rsid w:val="009D310F"/>
    <w:rsid w:val="009F3FDB"/>
    <w:rsid w:val="009F6299"/>
    <w:rsid w:val="00A056F5"/>
    <w:rsid w:val="00A11909"/>
    <w:rsid w:val="00A26588"/>
    <w:rsid w:val="00A62685"/>
    <w:rsid w:val="00A64BA4"/>
    <w:rsid w:val="00A82203"/>
    <w:rsid w:val="00A868C3"/>
    <w:rsid w:val="00A917AA"/>
    <w:rsid w:val="00A952F8"/>
    <w:rsid w:val="00AA4007"/>
    <w:rsid w:val="00AD0771"/>
    <w:rsid w:val="00AD0857"/>
    <w:rsid w:val="00AE1B40"/>
    <w:rsid w:val="00AE6644"/>
    <w:rsid w:val="00AE6C50"/>
    <w:rsid w:val="00AF74AD"/>
    <w:rsid w:val="00B124F0"/>
    <w:rsid w:val="00B13265"/>
    <w:rsid w:val="00B16486"/>
    <w:rsid w:val="00B232CC"/>
    <w:rsid w:val="00B34E0D"/>
    <w:rsid w:val="00B47AB2"/>
    <w:rsid w:val="00B743FC"/>
    <w:rsid w:val="00B84990"/>
    <w:rsid w:val="00BA4B87"/>
    <w:rsid w:val="00BB6EB3"/>
    <w:rsid w:val="00BD25D1"/>
    <w:rsid w:val="00BD79A0"/>
    <w:rsid w:val="00BD7F5F"/>
    <w:rsid w:val="00BF2126"/>
    <w:rsid w:val="00BF2E51"/>
    <w:rsid w:val="00C01075"/>
    <w:rsid w:val="00C20A7E"/>
    <w:rsid w:val="00C32587"/>
    <w:rsid w:val="00C57846"/>
    <w:rsid w:val="00C61122"/>
    <w:rsid w:val="00C66BFA"/>
    <w:rsid w:val="00C765B0"/>
    <w:rsid w:val="00C846C5"/>
    <w:rsid w:val="00CA0036"/>
    <w:rsid w:val="00CB5A88"/>
    <w:rsid w:val="00CC0BE3"/>
    <w:rsid w:val="00CE6532"/>
    <w:rsid w:val="00CE779F"/>
    <w:rsid w:val="00CF55B9"/>
    <w:rsid w:val="00D104F8"/>
    <w:rsid w:val="00D210C1"/>
    <w:rsid w:val="00D2268F"/>
    <w:rsid w:val="00D31826"/>
    <w:rsid w:val="00D34B1D"/>
    <w:rsid w:val="00D40DFC"/>
    <w:rsid w:val="00D50D16"/>
    <w:rsid w:val="00D5718E"/>
    <w:rsid w:val="00D62FDB"/>
    <w:rsid w:val="00D776FB"/>
    <w:rsid w:val="00D85806"/>
    <w:rsid w:val="00DC586F"/>
    <w:rsid w:val="00DE63B7"/>
    <w:rsid w:val="00E02782"/>
    <w:rsid w:val="00E04803"/>
    <w:rsid w:val="00E2491B"/>
    <w:rsid w:val="00E3505A"/>
    <w:rsid w:val="00E454A9"/>
    <w:rsid w:val="00E46680"/>
    <w:rsid w:val="00E80CAF"/>
    <w:rsid w:val="00EA60EC"/>
    <w:rsid w:val="00EE7855"/>
    <w:rsid w:val="00F32EE5"/>
    <w:rsid w:val="00F349CF"/>
    <w:rsid w:val="00F4340B"/>
    <w:rsid w:val="00F47845"/>
    <w:rsid w:val="00F47BA2"/>
    <w:rsid w:val="00FC3E54"/>
    <w:rsid w:val="00FE75C3"/>
    <w:rsid w:val="00FF0448"/>
    <w:rsid w:val="00FF5D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
    <w:name w:val="Normal"/>
    <w:qFormat/>
    <w:rsid w:val="00B124F0"/>
    <w:pPr>
      <w:spacing w:before="120" w:after="120"/>
      <w:jc w:val="both"/>
    </w:pPr>
    <w:rPr>
      <w:rFonts w:ascii="Arial" w:hAnsi="Arial"/>
      <w:sz w:val="22"/>
      <w:szCs w:val="24"/>
      <w:lang w:val="en-GB" w:eastAsia="de-DE"/>
    </w:rPr>
  </w:style>
  <w:style w:type="paragraph" w:styleId="1">
    <w:name w:val="heading 1"/>
    <w:basedOn w:val="a"/>
    <w:next w:val="a"/>
    <w:link w:val="10"/>
    <w:uiPriority w:val="99"/>
    <w:qFormat/>
    <w:rsid w:val="00B124F0"/>
    <w:pPr>
      <w:keepNext/>
      <w:spacing w:before="480" w:after="60"/>
      <w:outlineLvl w:val="0"/>
    </w:pPr>
    <w:rPr>
      <w:b/>
      <w:bCs/>
      <w:kern w:val="32"/>
      <w:sz w:val="28"/>
      <w:szCs w:val="32"/>
      <w:lang w:val="de-DE"/>
    </w:rPr>
  </w:style>
  <w:style w:type="paragraph" w:styleId="2">
    <w:name w:val="heading 2"/>
    <w:basedOn w:val="a"/>
    <w:next w:val="a"/>
    <w:link w:val="20"/>
    <w:uiPriority w:val="99"/>
    <w:qFormat/>
    <w:rsid w:val="00B124F0"/>
    <w:pPr>
      <w:keepNext/>
      <w:spacing w:before="600" w:after="60"/>
      <w:outlineLvl w:val="1"/>
    </w:pPr>
    <w:rPr>
      <w:b/>
      <w:bCs/>
      <w:iCs/>
      <w:sz w:val="28"/>
      <w:szCs w:val="28"/>
      <w:lang w:val="de-DE"/>
    </w:rPr>
  </w:style>
  <w:style w:type="paragraph" w:styleId="3">
    <w:name w:val="heading 3"/>
    <w:basedOn w:val="a"/>
    <w:next w:val="a"/>
    <w:link w:val="30"/>
    <w:uiPriority w:val="99"/>
    <w:qFormat/>
    <w:rsid w:val="00B124F0"/>
    <w:pPr>
      <w:keepNext/>
      <w:spacing w:before="240" w:after="60"/>
      <w:outlineLvl w:val="2"/>
    </w:pPr>
    <w:rPr>
      <w:b/>
      <w:bCs/>
      <w:sz w:val="26"/>
      <w:szCs w:val="26"/>
      <w:lang w:val="de-DE"/>
    </w:rPr>
  </w:style>
  <w:style w:type="paragraph" w:styleId="4">
    <w:name w:val="heading 4"/>
    <w:basedOn w:val="a"/>
    <w:next w:val="a"/>
    <w:link w:val="40"/>
    <w:uiPriority w:val="99"/>
    <w:qFormat/>
    <w:rsid w:val="00B124F0"/>
    <w:pPr>
      <w:keepNext/>
      <w:spacing w:before="240" w:after="60"/>
      <w:outlineLvl w:val="3"/>
    </w:pPr>
    <w:rPr>
      <w:rFonts w:ascii="Times New Roman" w:hAnsi="Times New Roman"/>
      <w:b/>
      <w:bCs/>
      <w:sz w:val="28"/>
      <w:szCs w:val="28"/>
      <w:lang w:val="de-DE"/>
    </w:rPr>
  </w:style>
  <w:style w:type="paragraph" w:styleId="5">
    <w:name w:val="heading 5"/>
    <w:basedOn w:val="a"/>
    <w:next w:val="a"/>
    <w:link w:val="50"/>
    <w:uiPriority w:val="99"/>
    <w:qFormat/>
    <w:rsid w:val="00B124F0"/>
    <w:pPr>
      <w:spacing w:before="240" w:after="60"/>
      <w:jc w:val="left"/>
      <w:outlineLvl w:val="4"/>
    </w:pPr>
    <w:rPr>
      <w:rFonts w:ascii="Times New Roman" w:hAnsi="Times New Roman"/>
      <w:b/>
      <w:bCs/>
      <w:i/>
      <w:iCs/>
      <w:sz w:val="26"/>
      <w:szCs w:val="26"/>
      <w:lang w:val="de-DE"/>
    </w:rPr>
  </w:style>
  <w:style w:type="paragraph" w:styleId="6">
    <w:name w:val="heading 6"/>
    <w:basedOn w:val="a"/>
    <w:next w:val="a"/>
    <w:link w:val="60"/>
    <w:uiPriority w:val="99"/>
    <w:qFormat/>
    <w:rsid w:val="00B124F0"/>
    <w:pPr>
      <w:spacing w:before="240" w:after="60"/>
      <w:jc w:val="left"/>
      <w:outlineLvl w:val="5"/>
    </w:pPr>
    <w:rPr>
      <w:rFonts w:ascii="Times New Roman" w:hAnsi="Times New Roman"/>
      <w:b/>
      <w:bCs/>
      <w:szCs w:val="22"/>
      <w:lang w:val="de-DE"/>
    </w:rPr>
  </w:style>
  <w:style w:type="paragraph" w:styleId="7">
    <w:name w:val="heading 7"/>
    <w:basedOn w:val="a"/>
    <w:next w:val="a"/>
    <w:link w:val="70"/>
    <w:uiPriority w:val="99"/>
    <w:qFormat/>
    <w:rsid w:val="00B124F0"/>
    <w:pPr>
      <w:keepNext/>
      <w:keepLines/>
      <w:spacing w:before="200" w:after="0"/>
      <w:outlineLvl w:val="6"/>
    </w:pPr>
    <w:rPr>
      <w:rFonts w:ascii="Cambria" w:hAnsi="Cambria"/>
      <w:i/>
      <w:iCs/>
      <w:color w:val="404040"/>
      <w:lang w:val="de-DE"/>
    </w:rPr>
  </w:style>
  <w:style w:type="paragraph" w:styleId="8">
    <w:name w:val="heading 8"/>
    <w:basedOn w:val="a"/>
    <w:next w:val="a"/>
    <w:link w:val="80"/>
    <w:uiPriority w:val="99"/>
    <w:qFormat/>
    <w:rsid w:val="00B124F0"/>
    <w:pPr>
      <w:keepNext/>
      <w:keepLines/>
      <w:spacing w:before="200" w:after="0"/>
      <w:outlineLvl w:val="7"/>
    </w:pPr>
    <w:rPr>
      <w:rFonts w:ascii="Cambria" w:hAnsi="Cambria"/>
      <w:color w:val="404040"/>
      <w:sz w:val="20"/>
      <w:szCs w:val="20"/>
      <w:lang w:val="de-DE"/>
    </w:rPr>
  </w:style>
  <w:style w:type="paragraph" w:styleId="9">
    <w:name w:val="heading 9"/>
    <w:basedOn w:val="a"/>
    <w:next w:val="a"/>
    <w:link w:val="90"/>
    <w:uiPriority w:val="99"/>
    <w:qFormat/>
    <w:rsid w:val="00B124F0"/>
    <w:pPr>
      <w:keepNext/>
      <w:keepLines/>
      <w:spacing w:before="200" w:after="0"/>
      <w:outlineLvl w:val="8"/>
    </w:pPr>
    <w:rPr>
      <w:rFonts w:ascii="Cambria" w:hAnsi="Cambria"/>
      <w:i/>
      <w:iCs/>
      <w:color w:val="404040"/>
      <w:sz w:val="20"/>
      <w:szCs w:val="20"/>
      <w:lang w:val="de-D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B124F0"/>
    <w:rPr>
      <w:rFonts w:ascii="Arial" w:eastAsia="SimSun" w:hAnsi="Arial" w:cs="Times New Roman"/>
      <w:b/>
      <w:kern w:val="32"/>
      <w:sz w:val="32"/>
      <w:lang w:val="de-DE" w:eastAsia="de-DE"/>
    </w:rPr>
  </w:style>
  <w:style w:type="character" w:customStyle="1" w:styleId="20">
    <w:name w:val="Заголовок 2 Знак"/>
    <w:link w:val="2"/>
    <w:uiPriority w:val="99"/>
    <w:locked/>
    <w:rsid w:val="00B124F0"/>
    <w:rPr>
      <w:rFonts w:ascii="Arial" w:eastAsia="SimSun" w:hAnsi="Arial" w:cs="Times New Roman"/>
      <w:b/>
      <w:sz w:val="28"/>
      <w:lang w:val="de-DE" w:eastAsia="de-DE"/>
    </w:rPr>
  </w:style>
  <w:style w:type="character" w:customStyle="1" w:styleId="30">
    <w:name w:val="Заголовок 3 Знак"/>
    <w:link w:val="3"/>
    <w:uiPriority w:val="99"/>
    <w:locked/>
    <w:rsid w:val="00B124F0"/>
    <w:rPr>
      <w:rFonts w:ascii="Arial" w:eastAsia="SimSun" w:hAnsi="Arial" w:cs="Times New Roman"/>
      <w:b/>
      <w:sz w:val="26"/>
      <w:lang w:val="de-DE" w:eastAsia="de-DE"/>
    </w:rPr>
  </w:style>
  <w:style w:type="character" w:customStyle="1" w:styleId="40">
    <w:name w:val="Заголовок 4 Знак"/>
    <w:link w:val="4"/>
    <w:uiPriority w:val="99"/>
    <w:locked/>
    <w:rsid w:val="00B124F0"/>
    <w:rPr>
      <w:rFonts w:cs="Times New Roman"/>
      <w:b/>
      <w:sz w:val="28"/>
      <w:lang w:val="de-DE" w:eastAsia="de-DE"/>
    </w:rPr>
  </w:style>
  <w:style w:type="character" w:customStyle="1" w:styleId="50">
    <w:name w:val="Заголовок 5 Знак"/>
    <w:link w:val="5"/>
    <w:uiPriority w:val="99"/>
    <w:locked/>
    <w:rsid w:val="00B124F0"/>
    <w:rPr>
      <w:rFonts w:cs="Times New Roman"/>
      <w:b/>
      <w:i/>
      <w:sz w:val="26"/>
      <w:lang w:val="de-DE" w:eastAsia="de-DE"/>
    </w:rPr>
  </w:style>
  <w:style w:type="character" w:customStyle="1" w:styleId="60">
    <w:name w:val="Заголовок 6 Знак"/>
    <w:link w:val="6"/>
    <w:uiPriority w:val="99"/>
    <w:locked/>
    <w:rsid w:val="00B124F0"/>
    <w:rPr>
      <w:rFonts w:cs="Times New Roman"/>
      <w:b/>
      <w:sz w:val="22"/>
      <w:lang w:val="de-DE" w:eastAsia="de-DE"/>
    </w:rPr>
  </w:style>
  <w:style w:type="character" w:customStyle="1" w:styleId="70">
    <w:name w:val="Заголовок 7 Знак"/>
    <w:link w:val="7"/>
    <w:uiPriority w:val="99"/>
    <w:semiHidden/>
    <w:locked/>
    <w:rsid w:val="00B124F0"/>
    <w:rPr>
      <w:rFonts w:ascii="Cambria" w:eastAsia="SimSun" w:hAnsi="Cambria" w:cs="Times New Roman"/>
      <w:i/>
      <w:color w:val="404040"/>
      <w:sz w:val="24"/>
      <w:lang w:val="de-DE" w:eastAsia="de-DE"/>
    </w:rPr>
  </w:style>
  <w:style w:type="character" w:customStyle="1" w:styleId="80">
    <w:name w:val="Заголовок 8 Знак"/>
    <w:link w:val="8"/>
    <w:uiPriority w:val="99"/>
    <w:semiHidden/>
    <w:locked/>
    <w:rsid w:val="00B124F0"/>
    <w:rPr>
      <w:rFonts w:ascii="Cambria" w:eastAsia="SimSun" w:hAnsi="Cambria" w:cs="Times New Roman"/>
      <w:color w:val="404040"/>
      <w:lang w:val="de-DE" w:eastAsia="de-DE"/>
    </w:rPr>
  </w:style>
  <w:style w:type="character" w:customStyle="1" w:styleId="90">
    <w:name w:val="Заголовок 9 Знак"/>
    <w:link w:val="9"/>
    <w:uiPriority w:val="99"/>
    <w:semiHidden/>
    <w:locked/>
    <w:rsid w:val="00B124F0"/>
    <w:rPr>
      <w:rFonts w:ascii="Cambria" w:eastAsia="SimSun" w:hAnsi="Cambria" w:cs="Times New Roman"/>
      <w:i/>
      <w:color w:val="404040"/>
      <w:lang w:val="de-DE" w:eastAsia="de-DE"/>
    </w:rPr>
  </w:style>
  <w:style w:type="paragraph" w:styleId="a3">
    <w:name w:val="caption"/>
    <w:basedOn w:val="a"/>
    <w:next w:val="a"/>
    <w:uiPriority w:val="99"/>
    <w:qFormat/>
    <w:rsid w:val="00B124F0"/>
    <w:rPr>
      <w:b/>
      <w:bCs/>
      <w:sz w:val="20"/>
      <w:szCs w:val="20"/>
    </w:rPr>
  </w:style>
  <w:style w:type="character" w:styleId="a4">
    <w:name w:val="Strong"/>
    <w:uiPriority w:val="99"/>
    <w:qFormat/>
    <w:rsid w:val="00B124F0"/>
    <w:rPr>
      <w:rFonts w:cs="Times New Roman"/>
      <w:b/>
    </w:rPr>
  </w:style>
  <w:style w:type="character" w:styleId="a5">
    <w:name w:val="Emphasis"/>
    <w:uiPriority w:val="99"/>
    <w:qFormat/>
    <w:rsid w:val="00B124F0"/>
    <w:rPr>
      <w:rFonts w:cs="Times New Roman"/>
      <w:i/>
    </w:rPr>
  </w:style>
  <w:style w:type="paragraph" w:styleId="a6">
    <w:name w:val="Title"/>
    <w:basedOn w:val="a"/>
    <w:next w:val="a"/>
    <w:link w:val="a7"/>
    <w:uiPriority w:val="99"/>
    <w:qFormat/>
    <w:rsid w:val="00B124F0"/>
    <w:pPr>
      <w:pBdr>
        <w:bottom w:val="single" w:sz="8" w:space="4" w:color="4F81BD"/>
      </w:pBdr>
      <w:spacing w:before="0" w:after="300"/>
      <w:contextualSpacing/>
    </w:pPr>
    <w:rPr>
      <w:rFonts w:ascii="Cambria" w:hAnsi="Cambria"/>
      <w:color w:val="17365D"/>
      <w:spacing w:val="5"/>
      <w:kern w:val="28"/>
      <w:sz w:val="52"/>
      <w:szCs w:val="52"/>
      <w:lang w:val="de-DE"/>
    </w:rPr>
  </w:style>
  <w:style w:type="character" w:customStyle="1" w:styleId="a7">
    <w:name w:val="Название Знак"/>
    <w:link w:val="a6"/>
    <w:uiPriority w:val="99"/>
    <w:locked/>
    <w:rsid w:val="00B124F0"/>
    <w:rPr>
      <w:rFonts w:ascii="Cambria" w:eastAsia="SimSun" w:hAnsi="Cambria" w:cs="Times New Roman"/>
      <w:color w:val="17365D"/>
      <w:spacing w:val="5"/>
      <w:kern w:val="28"/>
      <w:sz w:val="52"/>
      <w:lang w:val="de-DE" w:eastAsia="de-DE"/>
    </w:rPr>
  </w:style>
  <w:style w:type="paragraph" w:styleId="a8">
    <w:name w:val="Subtitle"/>
    <w:basedOn w:val="a"/>
    <w:next w:val="a"/>
    <w:link w:val="a9"/>
    <w:uiPriority w:val="99"/>
    <w:qFormat/>
    <w:rsid w:val="00B124F0"/>
    <w:pPr>
      <w:numPr>
        <w:ilvl w:val="1"/>
      </w:numPr>
    </w:pPr>
    <w:rPr>
      <w:rFonts w:ascii="Cambria" w:hAnsi="Cambria"/>
      <w:i/>
      <w:iCs/>
      <w:color w:val="4F81BD"/>
      <w:spacing w:val="15"/>
      <w:sz w:val="24"/>
      <w:lang w:val="de-DE"/>
    </w:rPr>
  </w:style>
  <w:style w:type="character" w:customStyle="1" w:styleId="a9">
    <w:name w:val="Подзаголовок Знак"/>
    <w:link w:val="a8"/>
    <w:uiPriority w:val="99"/>
    <w:locked/>
    <w:rsid w:val="00B124F0"/>
    <w:rPr>
      <w:rFonts w:ascii="Cambria" w:eastAsia="SimSun" w:hAnsi="Cambria" w:cs="Times New Roman"/>
      <w:i/>
      <w:color w:val="4F81BD"/>
      <w:spacing w:val="15"/>
      <w:sz w:val="24"/>
      <w:lang w:val="de-DE" w:eastAsia="de-DE"/>
    </w:rPr>
  </w:style>
  <w:style w:type="paragraph" w:styleId="aa">
    <w:name w:val="No Spacing"/>
    <w:basedOn w:val="a"/>
    <w:uiPriority w:val="99"/>
    <w:qFormat/>
    <w:rsid w:val="00B124F0"/>
    <w:pPr>
      <w:spacing w:before="0" w:after="0"/>
    </w:pPr>
  </w:style>
  <w:style w:type="paragraph" w:styleId="ab">
    <w:name w:val="List Paragraph"/>
    <w:basedOn w:val="a"/>
    <w:uiPriority w:val="99"/>
    <w:qFormat/>
    <w:rsid w:val="00B124F0"/>
    <w:pPr>
      <w:ind w:left="720"/>
      <w:contextualSpacing/>
    </w:pPr>
  </w:style>
  <w:style w:type="paragraph" w:styleId="21">
    <w:name w:val="Quote"/>
    <w:basedOn w:val="a"/>
    <w:next w:val="a"/>
    <w:link w:val="22"/>
    <w:uiPriority w:val="99"/>
    <w:qFormat/>
    <w:rsid w:val="00B124F0"/>
    <w:rPr>
      <w:i/>
      <w:iCs/>
      <w:color w:val="000000"/>
      <w:lang w:val="de-DE"/>
    </w:rPr>
  </w:style>
  <w:style w:type="character" w:customStyle="1" w:styleId="22">
    <w:name w:val="Цитата 2 Знак"/>
    <w:link w:val="21"/>
    <w:uiPriority w:val="99"/>
    <w:locked/>
    <w:rsid w:val="00B124F0"/>
    <w:rPr>
      <w:rFonts w:ascii="Arial" w:hAnsi="Arial" w:cs="Times New Roman"/>
      <w:i/>
      <w:color w:val="000000"/>
      <w:sz w:val="24"/>
      <w:lang w:val="de-DE" w:eastAsia="de-DE"/>
    </w:rPr>
  </w:style>
  <w:style w:type="paragraph" w:styleId="ac">
    <w:name w:val="Intense Quote"/>
    <w:basedOn w:val="a"/>
    <w:next w:val="a"/>
    <w:link w:val="ad"/>
    <w:uiPriority w:val="99"/>
    <w:qFormat/>
    <w:rsid w:val="00B124F0"/>
    <w:pPr>
      <w:pBdr>
        <w:bottom w:val="single" w:sz="4" w:space="4" w:color="4F81BD"/>
      </w:pBdr>
      <w:spacing w:before="200" w:after="280"/>
      <w:ind w:left="936" w:right="936"/>
    </w:pPr>
    <w:rPr>
      <w:b/>
      <w:bCs/>
      <w:i/>
      <w:iCs/>
      <w:color w:val="4F81BD"/>
      <w:lang w:val="de-DE"/>
    </w:rPr>
  </w:style>
  <w:style w:type="character" w:customStyle="1" w:styleId="ad">
    <w:name w:val="Выделенная цитата Знак"/>
    <w:link w:val="ac"/>
    <w:uiPriority w:val="99"/>
    <w:locked/>
    <w:rsid w:val="00B124F0"/>
    <w:rPr>
      <w:rFonts w:ascii="Arial" w:hAnsi="Arial" w:cs="Times New Roman"/>
      <w:b/>
      <w:i/>
      <w:color w:val="4F81BD"/>
      <w:sz w:val="24"/>
      <w:lang w:val="de-DE" w:eastAsia="de-DE"/>
    </w:rPr>
  </w:style>
  <w:style w:type="character" w:styleId="ae">
    <w:name w:val="Subtle Emphasis"/>
    <w:uiPriority w:val="99"/>
    <w:qFormat/>
    <w:rsid w:val="00B124F0"/>
    <w:rPr>
      <w:rFonts w:cs="Times New Roman"/>
      <w:i/>
      <w:color w:val="808080"/>
    </w:rPr>
  </w:style>
  <w:style w:type="character" w:styleId="af">
    <w:name w:val="Intense Emphasis"/>
    <w:uiPriority w:val="99"/>
    <w:qFormat/>
    <w:rsid w:val="00B124F0"/>
    <w:rPr>
      <w:rFonts w:cs="Times New Roman"/>
      <w:b/>
      <w:i/>
      <w:color w:val="4F81BD"/>
    </w:rPr>
  </w:style>
  <w:style w:type="character" w:styleId="af0">
    <w:name w:val="Subtle Reference"/>
    <w:uiPriority w:val="99"/>
    <w:qFormat/>
    <w:rsid w:val="00B124F0"/>
    <w:rPr>
      <w:rFonts w:cs="Times New Roman"/>
      <w:smallCaps/>
      <w:color w:val="C0504D"/>
      <w:u w:val="single"/>
    </w:rPr>
  </w:style>
  <w:style w:type="character" w:styleId="af1">
    <w:name w:val="Intense Reference"/>
    <w:uiPriority w:val="99"/>
    <w:qFormat/>
    <w:rsid w:val="00B124F0"/>
    <w:rPr>
      <w:rFonts w:cs="Times New Roman"/>
      <w:b/>
      <w:smallCaps/>
      <w:color w:val="C0504D"/>
      <w:spacing w:val="5"/>
      <w:u w:val="single"/>
    </w:rPr>
  </w:style>
  <w:style w:type="character" w:styleId="af2">
    <w:name w:val="Book Title"/>
    <w:uiPriority w:val="99"/>
    <w:qFormat/>
    <w:rsid w:val="00B124F0"/>
    <w:rPr>
      <w:rFonts w:cs="Times New Roman"/>
      <w:b/>
      <w:smallCaps/>
      <w:spacing w:val="5"/>
    </w:rPr>
  </w:style>
  <w:style w:type="paragraph" w:styleId="af3">
    <w:name w:val="TOC Heading"/>
    <w:basedOn w:val="1"/>
    <w:next w:val="a"/>
    <w:uiPriority w:val="99"/>
    <w:qFormat/>
    <w:rsid w:val="00B124F0"/>
    <w:pPr>
      <w:keepLines/>
      <w:spacing w:after="0"/>
      <w:outlineLvl w:val="9"/>
    </w:pPr>
    <w:rPr>
      <w:rFonts w:ascii="Cambria" w:hAnsi="Cambria"/>
      <w:color w:val="365F91"/>
      <w:kern w:val="0"/>
      <w:szCs w:val="28"/>
    </w:rPr>
  </w:style>
  <w:style w:type="paragraph" w:styleId="af4">
    <w:name w:val="header"/>
    <w:basedOn w:val="a"/>
    <w:link w:val="af5"/>
    <w:uiPriority w:val="99"/>
    <w:unhideWhenUsed/>
    <w:locked/>
    <w:rsid w:val="003B1FE5"/>
    <w:pPr>
      <w:tabs>
        <w:tab w:val="center" w:pos="4844"/>
        <w:tab w:val="right" w:pos="9689"/>
      </w:tabs>
    </w:pPr>
  </w:style>
  <w:style w:type="character" w:customStyle="1" w:styleId="af5">
    <w:name w:val="Верхний колонтитул Знак"/>
    <w:link w:val="af4"/>
    <w:uiPriority w:val="99"/>
    <w:rsid w:val="003B1FE5"/>
    <w:rPr>
      <w:rFonts w:ascii="Arial" w:hAnsi="Arial"/>
      <w:szCs w:val="24"/>
      <w:lang w:val="en-GB" w:eastAsia="de-DE"/>
    </w:rPr>
  </w:style>
  <w:style w:type="paragraph" w:styleId="af6">
    <w:name w:val="footer"/>
    <w:basedOn w:val="a"/>
    <w:link w:val="af7"/>
    <w:uiPriority w:val="99"/>
    <w:unhideWhenUsed/>
    <w:locked/>
    <w:rsid w:val="003B1FE5"/>
    <w:pPr>
      <w:tabs>
        <w:tab w:val="center" w:pos="4844"/>
        <w:tab w:val="right" w:pos="9689"/>
      </w:tabs>
    </w:pPr>
  </w:style>
  <w:style w:type="character" w:customStyle="1" w:styleId="af7">
    <w:name w:val="Нижний колонтитул Знак"/>
    <w:link w:val="af6"/>
    <w:uiPriority w:val="99"/>
    <w:rsid w:val="003B1FE5"/>
    <w:rPr>
      <w:rFonts w:ascii="Arial" w:hAnsi="Arial"/>
      <w:szCs w:val="24"/>
      <w:lang w:val="en-GB" w:eastAsia="de-DE"/>
    </w:rPr>
  </w:style>
  <w:style w:type="paragraph" w:customStyle="1" w:styleId="B3711001DC9A4C11A6314D6F32AB03C0">
    <w:name w:val="B3711001DC9A4C11A6314D6F32AB03C0"/>
    <w:rsid w:val="001B55AF"/>
    <w:pPr>
      <w:spacing w:after="200" w:line="276" w:lineRule="auto"/>
    </w:pPr>
    <w:rPr>
      <w:rFonts w:ascii="Calibri" w:eastAsia="Times New Roman" w:hAnsi="Calibri"/>
      <w:sz w:val="22"/>
      <w:szCs w:val="22"/>
    </w:rPr>
  </w:style>
  <w:style w:type="paragraph" w:styleId="af8">
    <w:name w:val="Balloon Text"/>
    <w:basedOn w:val="a"/>
    <w:link w:val="af9"/>
    <w:uiPriority w:val="99"/>
    <w:semiHidden/>
    <w:unhideWhenUsed/>
    <w:locked/>
    <w:rsid w:val="001B55AF"/>
    <w:pPr>
      <w:spacing w:before="0" w:after="0"/>
    </w:pPr>
    <w:rPr>
      <w:rFonts w:ascii="Tahoma" w:hAnsi="Tahoma" w:cs="Tahoma"/>
      <w:sz w:val="16"/>
      <w:szCs w:val="16"/>
    </w:rPr>
  </w:style>
  <w:style w:type="character" w:customStyle="1" w:styleId="af9">
    <w:name w:val="Текст выноски Знак"/>
    <w:link w:val="af8"/>
    <w:uiPriority w:val="99"/>
    <w:semiHidden/>
    <w:rsid w:val="001B55AF"/>
    <w:rPr>
      <w:rFonts w:ascii="Tahoma" w:hAnsi="Tahoma" w:cs="Tahoma"/>
      <w:sz w:val="16"/>
      <w:szCs w:val="16"/>
      <w:lang w:val="en-GB"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5</Pages>
  <Words>1659</Words>
  <Characters>9457</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ИА «Риск-мониторинг»: </dc:creator>
  <cp:keywords/>
  <dc:description/>
  <cp:lastModifiedBy>Anna</cp:lastModifiedBy>
  <cp:revision>175</cp:revision>
  <dcterms:created xsi:type="dcterms:W3CDTF">2015-11-01T17:01:00Z</dcterms:created>
  <dcterms:modified xsi:type="dcterms:W3CDTF">2016-01-04T21:38:00Z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1084997786</vt:i4>
  </property>
  <property fmtid="{D5CDD505-2E9C-101B-9397-08002B2CF9AE}" pid="3" name="_NewReviewCycle">
    <vt:lpwstr/>
  </property>
  <property fmtid="{D5CDD505-2E9C-101B-9397-08002B2CF9AE}" pid="4" name="_EmailSubject">
    <vt:lpwstr>RM</vt:lpwstr>
  </property>
  <property fmtid="{D5CDD505-2E9C-101B-9397-08002B2CF9AE}" pid="5" name="_AuthorEmail">
    <vt:lpwstr>Anna.Bukhalkina@commerzbank.com</vt:lpwstr>
  </property>
  <property fmtid="{D5CDD505-2E9C-101B-9397-08002B2CF9AE}" pid="6" name="_AuthorEmailDisplayName">
    <vt:lpwstr>Bukhalkina, Anna</vt:lpwstr>
  </property>
  <property fmtid="{D5CDD505-2E9C-101B-9397-08002B2CF9AE}" pid="7" name="_ReviewingToolsShownOnce">
    <vt:lpwstr/>
  </property>
</Properties>
</file>